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9613" w:type="dxa"/>
        <w:jc w:val="left"/>
        <w:tblInd w:w="62"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4806"/>
        <w:gridCol w:w="4807"/>
      </w:tblGrid>
      <w:tr>
        <w:trPr>
          <w:trHeight w:val="510" w:hRule="atLeast"/>
        </w:trPr>
        <w:tc>
          <w:tcPr>
            <w:tcW w:w="4806" w:type="dxa"/>
            <w:tcBorders>
              <w:top w:val="single" w:sz="4" w:space="0" w:color="000000"/>
              <w:left w:val="single" w:sz="4" w:space="0" w:color="000000"/>
              <w:bottom w:val="single" w:sz="4" w:space="0" w:color="000000"/>
              <w:insideH w:val="single" w:sz="4" w:space="0" w:color="000000"/>
            </w:tcBorders>
            <w:shd w:fill="auto" w:val="clear"/>
            <w:tcMar>
              <w:left w:w="50" w:type="dxa"/>
            </w:tcMar>
          </w:tcPr>
          <w:p>
            <w:pPr>
              <w:pStyle w:val="Normal"/>
              <w:jc w:val="left"/>
              <w:rPr>
                <w:rFonts w:ascii="Arial" w:hAnsi="Arial"/>
                <w:b/>
                <w:b/>
                <w:bCs/>
                <w:color w:val="auto"/>
                <w:sz w:val="12"/>
                <w:szCs w:val="12"/>
              </w:rPr>
            </w:pPr>
            <w:r>
              <w:rPr>
                <w:rFonts w:ascii="Arial" w:hAnsi="Arial"/>
                <w:b/>
                <w:bCs/>
                <w:color w:val="auto"/>
                <w:sz w:val="12"/>
                <w:szCs w:val="12"/>
              </w:rPr>
              <w:t>Le informazioni e i dati corrispondono a quelli previsti nella modulistica unificata e standardizzata, approvata dalla Conferenza Unificata  in data 4 maggio 2017</w:t>
            </w:r>
          </w:p>
          <w:p>
            <w:pPr>
              <w:pStyle w:val="Normal"/>
              <w:pBdr/>
              <w:snapToGrid w:val="false"/>
              <w:spacing w:before="0" w:after="0"/>
              <w:jc w:val="left"/>
              <w:rPr>
                <w:rFonts w:ascii="Arial" w:hAnsi="Arial"/>
                <w:b/>
                <w:b/>
                <w:bCs/>
                <w:color w:val="auto"/>
                <w:sz w:val="12"/>
                <w:szCs w:val="12"/>
              </w:rPr>
            </w:pPr>
            <w:r>
              <w:rPr>
                <w:rFonts w:ascii="Arial" w:hAnsi="Arial"/>
                <w:b/>
                <w:bCs/>
                <w:color w:val="auto"/>
                <w:sz w:val="12"/>
                <w:szCs w:val="12"/>
              </w:rPr>
              <w:t>Le sezioni e le informazioni variate sulla base delle diverse disposizioni regionali sono contrassegnate con un asterisco (*)</w:t>
            </w:r>
          </w:p>
        </w:tc>
        <w:tc>
          <w:tcPr>
            <w:tcW w:w="48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vAlign w:val="bottom"/>
          </w:tcPr>
          <w:p>
            <w:pPr>
              <w:pStyle w:val="Heading7"/>
              <w:numPr>
                <w:ilvl w:val="6"/>
                <w:numId w:val="1"/>
              </w:numPr>
              <w:pBdr/>
              <w:snapToGrid w:val="false"/>
              <w:spacing w:before="0" w:after="0"/>
              <w:ind w:left="0" w:right="0" w:hanging="0"/>
              <w:jc w:val="left"/>
              <w:rPr>
                <w:rFonts w:ascii="Arial" w:hAnsi="Arial" w:cs="Arial"/>
                <w:b/>
                <w:b/>
                <w:bCs/>
                <w:i w:val="false"/>
                <w:i w:val="false"/>
                <w:sz w:val="20"/>
                <w:szCs w:val="20"/>
              </w:rPr>
            </w:pPr>
            <w:r>
              <w:rPr>
                <w:rFonts w:cs="Arial" w:ascii="Arial" w:hAnsi="Arial"/>
                <w:b/>
                <w:bCs/>
                <w:i w:val="false"/>
                <w:sz w:val="20"/>
                <w:szCs w:val="20"/>
              </w:rPr>
            </w:r>
          </w:p>
          <w:p>
            <w:pPr>
              <w:pStyle w:val="Normal"/>
              <w:pBdr/>
              <w:snapToGrid w:val="false"/>
              <w:spacing w:before="0" w:after="0"/>
              <w:jc w:val="right"/>
              <w:rPr>
                <w:rFonts w:ascii="Arial" w:hAnsi="Arial" w:cs="Arial"/>
                <w:b/>
                <w:b/>
                <w:bCs/>
                <w:i w:val="false"/>
                <w:i w:val="false"/>
                <w:color w:val="0000FF"/>
                <w:sz w:val="12"/>
                <w:szCs w:val="12"/>
              </w:rPr>
            </w:pPr>
            <w:r>
              <w:rPr>
                <w:rFonts w:cs="Arial" w:ascii="Arial" w:hAnsi="Arial"/>
                <w:b/>
                <w:bCs/>
                <w:i w:val="false"/>
                <w:color w:val="0000FF"/>
                <w:sz w:val="12"/>
                <w:szCs w:val="12"/>
              </w:rPr>
              <w:t xml:space="preserve">Questo modulo </w:t>
            </w:r>
            <w:r>
              <w:rPr>
                <w:rFonts w:cs="Arial" w:ascii="Arial" w:hAnsi="Arial"/>
                <w:b/>
                <w:bCs/>
                <w:i w:val="false"/>
                <w:color w:val="0000FF"/>
                <w:sz w:val="12"/>
                <w:szCs w:val="12"/>
                <w:u w:val="single"/>
              </w:rPr>
              <w:t>DEVE ESSERE compilato</w:t>
            </w:r>
            <w:r>
              <w:rPr>
                <w:rFonts w:cs="Arial" w:ascii="Arial" w:hAnsi="Arial"/>
                <w:b/>
                <w:bCs/>
                <w:i w:val="false"/>
                <w:color w:val="0000FF"/>
                <w:sz w:val="12"/>
                <w:szCs w:val="12"/>
              </w:rPr>
              <w:t xml:space="preserve"> con OpenOffice o Libre Office</w:t>
            </w:r>
          </w:p>
        </w:tc>
      </w:tr>
      <w:tr>
        <w:trPr>
          <w:trHeight w:val="510" w:hRule="atLeas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1"/>
              <w:numPr>
                <w:ilvl w:val="0"/>
                <w:numId w:val="0"/>
              </w:numPr>
              <w:spacing w:before="57" w:after="0"/>
              <w:rPr>
                <w:rFonts w:ascii="Arial" w:hAnsi="Arial"/>
                <w:b/>
                <w:b/>
                <w:bCs/>
                <w:sz w:val="28"/>
                <w:szCs w:val="28"/>
              </w:rPr>
            </w:pPr>
            <w:r>
              <w:rPr>
                <w:b/>
                <w:bCs/>
                <w:sz w:val="28"/>
                <w:szCs w:val="28"/>
              </w:rPr>
              <w:t>1. Dati generali dell'intervento</w:t>
            </w:r>
          </w:p>
        </w:tc>
      </w:tr>
      <w:tr>
        <w:trPr>
          <w:trHeight w:val="454"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numPr>
                <w:ilvl w:val="1"/>
                <w:numId w:val="1"/>
              </w:numPr>
              <w:spacing w:before="62" w:after="62"/>
              <w:rPr/>
            </w:pPr>
            <w:r>
              <w:rPr>
                <w:i w:val="false"/>
                <w:iCs w:val="false"/>
                <w:color w:val="0000FF"/>
                <w:sz w:val="20"/>
                <w:szCs w:val="20"/>
              </w:rPr>
              <w:t xml:space="preserve">1.1 Numero della domanda </w:t>
            </w:r>
            <w:r>
              <w:rPr>
                <w:i w:val="false"/>
                <w:iCs w:val="false"/>
                <w:color w:val="0000FF"/>
                <w:sz w:val="20"/>
                <w:szCs w:val="20"/>
              </w:rPr>
            </w:r>
          </w:p>
        </w:tc>
      </w:tr>
      <w:tr>
        <w:trPr>
          <w:trHeight w:val="515"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Heading2"/>
              <w:numPr>
                <w:ilvl w:val="1"/>
                <w:numId w:val="1"/>
              </w:numPr>
              <w:spacing w:before="57" w:after="57"/>
              <w:textAlignment w:val="center"/>
              <w:rPr>
                <w:color w:val="0000FF"/>
                <w:sz w:val="20"/>
                <w:szCs w:val="20"/>
              </w:rPr>
            </w:pPr>
            <w:r>
              <w:rPr>
                <w:i w:val="false"/>
                <w:iCs w:val="false"/>
                <w:color w:val="0000FF"/>
                <w:sz w:val="20"/>
                <w:szCs w:val="20"/>
              </w:rPr>
              <w:t>1.2 Titolare dell'esercizio</w:t>
            </w:r>
            <w:r>
              <w:rPr>
                <w:color w:val="0000FF"/>
                <w:sz w:val="20"/>
                <w:szCs w:val="20"/>
              </w:rPr>
              <w:t xml:space="preserve"> </w:t>
            </w:r>
            <w:r>
              <w:rPr>
                <w:color w:val="0000FF"/>
                <w:sz w:val="20"/>
                <w:szCs w:val="20"/>
              </w:rPr>
            </w:r>
            <w:r>
              <w:rPr>
                <w:color w:val="0000FF"/>
                <w:sz w:val="20"/>
                <w:szCs w:val="20"/>
              </w:rPr>
              <w:t xml:space="preserve"> </w:t>
            </w:r>
            <w:r>
              <w:rPr>
                <w:color w:val="0000FF"/>
                <w:sz w:val="20"/>
                <w:szCs w:val="20"/>
              </w:rPr>
            </w:r>
          </w:p>
        </w:tc>
      </w:tr>
      <w:tr>
        <w:trPr>
          <w:trHeight w:val="454" w:hRule="exact"/>
        </w:trPr>
        <w:tc>
          <w:tcPr>
            <w:tcW w:w="9613" w:type="dxa"/>
            <w:gridSpan w:val="2"/>
            <w:tcBorders>
              <w:top w:val="single" w:sz="4" w:space="0" w:color="000000"/>
              <w:left w:val="single" w:sz="4" w:space="0" w:color="000000"/>
              <w:right w:val="single" w:sz="4" w:space="0" w:color="000000"/>
              <w:insideV w:val="single" w:sz="4" w:space="0" w:color="000000"/>
            </w:tcBorders>
            <w:shd w:fill="auto" w:val="clear"/>
            <w:tcMar>
              <w:left w:w="50" w:type="dxa"/>
            </w:tcMar>
          </w:tcPr>
          <w:p>
            <w:pPr>
              <w:pStyle w:val="Heading2"/>
              <w:numPr>
                <w:ilvl w:val="1"/>
                <w:numId w:val="1"/>
              </w:numPr>
              <w:spacing w:before="57" w:after="0"/>
              <w:textAlignment w:val="center"/>
              <w:rPr>
                <w:i w:val="false"/>
                <w:i w:val="false"/>
                <w:iCs w:val="false"/>
                <w:color w:val="0000FF"/>
                <w:sz w:val="20"/>
                <w:szCs w:val="20"/>
              </w:rPr>
            </w:pPr>
            <w:r>
              <w:rPr>
                <w:i w:val="false"/>
                <w:iCs w:val="false"/>
                <w:color w:val="0000FF"/>
                <w:sz w:val="20"/>
                <w:szCs w:val="20"/>
              </w:rPr>
              <w:t>1.3 Indirizzo dell'esercizio</w:t>
            </w:r>
          </w:p>
        </w:tc>
      </w:tr>
      <w:tr>
        <w:trPr>
          <w:trHeight w:val="816" w:hRule="exact"/>
        </w:trPr>
        <w:tc>
          <w:tcPr>
            <w:tcW w:w="9613" w:type="dxa"/>
            <w:gridSpan w:val="2"/>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0" w:type="dxa"/>
            </w:tcMar>
          </w:tcPr>
          <w:p>
            <w:pPr>
              <w:pStyle w:val="Normal"/>
              <w:spacing w:before="0" w:after="0"/>
              <w:ind w:left="397" w:right="0" w:hanging="0"/>
              <w:textAlignment w:val="bottom"/>
              <w:rPr/>
            </w:pP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w:r>
            <w:r>
              <w:rPr>
                <w:i w:val="false"/>
                <w:iCs w:val="false"/>
                <w:color w:val="0000FF"/>
                <w:sz w:val="20"/>
                <w:szCs w:val="20"/>
              </w:rPr>
              <w:t xml:space="preserve"> </w:t>
            </w:r>
            <w:r>
              <w:rPr>
                <w:b/>
                <w:bCs/>
                <w:i w:val="false"/>
                <w:iCs w:val="false"/>
                <w:color w:val="000000"/>
                <w:sz w:val="28"/>
                <w:szCs w:val="28"/>
              </w:rPr>
              <w:t>/</w:t>
            </w:r>
            <w:r>
              <w:rPr>
                <w:i w:val="false"/>
                <w:iCs w:val="false"/>
                <w:color w:val="0000FF"/>
                <w:sz w:val="20"/>
                <w:szCs w:val="20"/>
              </w:rPr>
              <w:t xml:space="preserve"> </w:t>
            </w:r>
            <w:r>
              <w:rPr>
                <w:i w:val="false"/>
                <w:iCs w:val="false"/>
                <w:color w:val="0000FF"/>
                <w:sz w:val="20"/>
                <w:szCs w:val="20"/>
              </w:rPr>
            </w:r>
          </w:p>
          <w:p>
            <w:pPr>
              <w:pStyle w:val="Normal"/>
              <w:spacing w:before="0" w:after="0"/>
              <w:ind w:left="397" w:right="0" w:hanging="0"/>
              <w:textAlignment w:val="bottom"/>
              <w:rPr/>
            </w:pPr>
            <w:r>
              <w:rPr>
                <w:i w:val="false"/>
                <w:iCs w:val="false"/>
                <w:color w:val="0000FF"/>
                <w:sz w:val="20"/>
                <w:szCs w:val="20"/>
              </w:rPr>
            </w:r>
            <w:r>
              <w:rPr>
                <w:i w:val="false"/>
                <w:iCs w:val="false"/>
                <w:color w:val="0000FF"/>
                <w:sz w:val="20"/>
                <w:szCs w:val="20"/>
              </w:rPr>
              <w:t xml:space="preserve"> </w:t>
            </w:r>
            <w:r>
              <w:rPr>
                <w:i w:val="false"/>
                <w:iCs w:val="false"/>
                <w:color w:val="0000FF"/>
                <w:sz w:val="20"/>
                <w:szCs w:val="20"/>
              </w:rPr>
              <mc:AlternateContent>
                <mc:Choice Requires="wpg">
                  <w:drawing>
                    <wp:inline distT="0" distB="0" distL="0" distR="0">
                      <wp:extent cx="1440180" cy="162560"/>
                      <wp:effectExtent l="0" t="0" r="0" b="0"/>
                      <wp:docPr id="1" name=""/>
                      <a:graphic xmlns:a="http://schemas.openxmlformats.org/drawingml/2006/main">
                        <a:graphicData uri="http://schemas.microsoft.com/office/word/2010/wordprocessingGroup">
                          <wpg:wgp>
                            <wpg:cNvGrpSpPr/>
                            <wpg:grpSpPr>
                              <a:xfrm>
                                <a:off x="0" y="0"/>
                                <a:ext cx="1439640" cy="162000"/>
                              </a:xfrm>
                            </wpg:grpSpPr>
                          </wpg:wgp>
                        </a:graphicData>
                      </a:graphic>
                    </wp:inline>
                  </w:drawing>
                </mc:Choice>
                <mc:Fallback>
                  <w:pict>
                    <v:group id="shape_0" style="position:absolute;margin-left:0pt;margin-top:-6.4pt;width:113.35pt;height:12.75pt" coordorigin="0,-128" coordsize="2267,255"/>
                  </w:pict>
                </mc:Fallback>
              </mc:AlternateContent>
            </w:r>
            <w:r>
              <w:rPr>
                <w:i w:val="false"/>
                <w:iCs w:val="false"/>
                <w:color w:val="0000FF"/>
                <w:sz w:val="20"/>
                <w:szCs w:val="20"/>
              </w:rPr>
              <w:t xml:space="preserve"> </w:t>
            </w:r>
            <w:r>
              <w:rPr>
                <w:i w:val="false"/>
                <w:iCs w:val="false"/>
                <w:color w:val="0000FF"/>
                <w:sz w:val="20"/>
                <w:szCs w:val="20"/>
              </w:rPr>
            </w:r>
          </w:p>
        </w:tc>
      </w:tr>
    </w:tbl>
    <w:p>
      <w:pPr>
        <w:pStyle w:val="Normal"/>
        <w:rPr>
          <w:rFonts w:ascii="Arial" w:hAnsi="Arial"/>
          <w:sz w:val="16"/>
          <w:szCs w:val="16"/>
        </w:rPr>
      </w:pPr>
      <w:r>
        <w:rPr>
          <w:rFonts w:ascii="Arial" w:hAnsi="Arial"/>
          <w:sz w:val="16"/>
          <w:szCs w:val="16"/>
        </w:rPr>
      </w:r>
    </w:p>
    <w:tbl>
      <w:tblPr>
        <w:tblW w:w="9619" w:type="dxa"/>
        <w:jc w:val="left"/>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9619"/>
      </w:tblGrid>
      <w:tr>
        <w:trPr>
          <w:trHeight w:val="454" w:hRule="atLeast"/>
        </w:trPr>
        <w:tc>
          <w:tcPr>
            <w:tcW w:w="9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rPr>
                <w:rFonts w:ascii="Arial" w:hAnsi="Arial" w:cs="Arial"/>
                <w:b/>
                <w:b/>
                <w:color w:val="FF0000"/>
                <w:sz w:val="28"/>
                <w:szCs w:val="28"/>
              </w:rPr>
            </w:pPr>
            <w:r>
              <w:rPr>
                <w:rFonts w:cs="Arial" w:ascii="Arial" w:hAnsi="Arial"/>
                <w:b/>
                <w:color w:val="FF0000"/>
                <w:sz w:val="28"/>
                <w:szCs w:val="28"/>
              </w:rPr>
              <w:t>2. Cessazione definitiva o sospensione temporanea di attività</w:t>
            </w:r>
          </w:p>
        </w:tc>
      </w:tr>
      <w:tr>
        <w:trPr>
          <w:trHeight w:val="454" w:hRule="atLeast"/>
        </w:trPr>
        <w:tc>
          <w:tcPr>
            <w:tcW w:w="96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57" w:after="0"/>
              <w:ind w:left="170" w:right="0" w:hanging="0"/>
              <w:rPr/>
            </w:pPr>
            <w:r>
              <w:rPr>
                <w:rFonts w:cs="Arial"/>
                <w:sz w:val="18"/>
                <w:szCs w:val="18"/>
              </w:rPr>
            </w:r>
            <w:r>
              <w:rPr>
                <w:rFonts w:cs="Arial" w:ascii="Arial" w:hAnsi="Arial"/>
                <w:sz w:val="20"/>
                <w:szCs w:val="20"/>
              </w:rPr>
              <w:t xml:space="preserve"> </w:t>
            </w:r>
            <w:r>
              <w:rPr>
                <w:rFonts w:cs="Arial" w:ascii="Arial" w:hAnsi="Arial"/>
                <w:sz w:val="16"/>
                <w:szCs w:val="16"/>
              </w:rPr>
              <w:t>Cessazione dell’attività</w:t>
            </w:r>
          </w:p>
          <w:p>
            <w:pPr>
              <w:pStyle w:val="Normal"/>
              <w:snapToGrid w:val="false"/>
              <w:ind w:left="170" w:right="0" w:hanging="0"/>
              <w:rPr/>
            </w:pPr>
            <w:r>
              <w:rPr>
                <w:rFonts w:cs="Arial" w:ascii="Arial" w:hAnsi="Arial"/>
                <w:sz w:val="16"/>
                <w:szCs w:val="16"/>
              </w:rPr>
            </w:r>
            <w:r>
              <w:rPr>
                <w:rFonts w:cs="Arial" w:ascii="Arial" w:hAnsi="Arial"/>
                <w:sz w:val="16"/>
                <w:szCs w:val="16"/>
              </w:rPr>
              <w:t xml:space="preserve"> </w:t>
            </w:r>
            <w:r>
              <w:rPr>
                <w:rFonts w:cs="Arial" w:ascii="Arial" w:hAnsi="Arial"/>
                <w:sz w:val="16"/>
                <w:szCs w:val="16"/>
              </w:rPr>
              <w:t>Sospensione temporanea dell'attività</w:t>
            </w:r>
            <w:r>
              <w:rPr>
                <w:rStyle w:val="FootnoteAnchor"/>
                <w:rFonts w:cs="Arial" w:ascii="Arial" w:hAnsi="Arial"/>
                <w:sz w:val="16"/>
                <w:szCs w:val="16"/>
              </w:rPr>
              <w:footnoteReference w:id="2"/>
            </w:r>
          </w:p>
          <w:p>
            <w:pPr>
              <w:pStyle w:val="Normal"/>
              <w:snapToGrid w:val="false"/>
              <w:spacing w:before="57" w:after="57"/>
              <w:rPr>
                <w:rFonts w:ascii="Arial" w:hAnsi="Arial" w:cs="Arial"/>
                <w:sz w:val="16"/>
                <w:szCs w:val="16"/>
              </w:rPr>
            </w:pPr>
            <w:r>
              <w:rPr>
                <w:rFonts w:cs="Arial" w:ascii="Arial" w:hAnsi="Arial"/>
                <w:i w:val="false"/>
                <w:iCs w:val="false"/>
                <w:sz w:val="16"/>
                <w:szCs w:val="16"/>
              </w:rPr>
              <w:t xml:space="preserve">già avviata con la SCIA/DIA/autorizzazione protocollo e numero </w:t>
            </w:r>
            <w:r>
              <w:rPr>
                <w:rFonts w:cs="Arial" w:ascii="Arial" w:hAnsi="Arial"/>
                <w:i w:val="false"/>
                <w:iCs w:val="false"/>
                <w:sz w:val="16"/>
                <w:szCs w:val="16"/>
              </w:rPr>
            </w:r>
            <w:r>
              <w:rPr>
                <w:rFonts w:cs="Arial" w:ascii="Arial" w:hAnsi="Arial"/>
                <w:i w:val="false"/>
                <w:iCs w:val="false"/>
                <w:sz w:val="16"/>
                <w:szCs w:val="16"/>
              </w:rPr>
              <w:t xml:space="preserve"> del </w:t>
            </w:r>
            <w:r>
              <w:rPr>
                <w:rFonts w:cs="Arial" w:ascii="Arial" w:hAnsi="Arial"/>
                <w:i w:val="false"/>
                <w:iCs w:val="false"/>
                <w:sz w:val="16"/>
                <w:szCs w:val="16"/>
              </w:rPr>
            </w:r>
            <w:sdt>
              <w:sdtPr>
                <w:date>
                  <w:dateFormat w:val=""/>
                  <w:lid w:val="en-US"/>
                  <w:storeMappedDataAs w:val="dateTime"/>
                  <w:calendar w:val="gregorian"/>
                </w:date>
              </w:sdtPr>
              <w:sdtContent>
                <w:r/>
              </w:sdtContent>
            </w:sdt>
            <w:r>
              <w:rPr>
                <w:rFonts w:eastAsia="Arial Unicode MS" w:cs="Tahoma" w:ascii="Arial" w:hAnsi="Arial"/>
                <w:sz w:val="16"/>
                <w:szCs w:val="16"/>
              </w:rPr>
              <w:t xml:space="preserve"> </w:t>
            </w:r>
            <w:r>
              <w:rPr>
                <w:rFonts w:eastAsia="Arial Unicode MS" w:cs="Tahoma" w:ascii="Arial" w:hAnsi="Arial"/>
                <w:i/>
                <w:iCs/>
                <w:sz w:val="12"/>
                <w:szCs w:val="12"/>
              </w:rPr>
              <w:t>(gg/mm/aaaa)</w:t>
            </w:r>
          </w:p>
          <w:p>
            <w:pPr>
              <w:pStyle w:val="Normal"/>
              <w:snapToGrid w:val="false"/>
              <w:spacing w:before="0" w:after="57"/>
              <w:rPr>
                <w:rFonts w:ascii="Arial" w:hAnsi="Arial" w:eastAsia="Arial Unicode MS" w:cs="Tahoma"/>
                <w:i w:val="false"/>
                <w:i w:val="false"/>
                <w:iCs w:val="false"/>
                <w:color w:val="999999"/>
                <w:sz w:val="16"/>
                <w:szCs w:val="16"/>
              </w:rPr>
            </w:pPr>
            <w:r>
              <w:rPr>
                <w:rFonts w:eastAsia="Arial Unicode MS" w:cs="Tahoma" w:ascii="Arial" w:hAnsi="Arial"/>
                <w:i w:val="false"/>
                <w:iCs w:val="false"/>
                <w:color w:val="999999"/>
                <w:sz w:val="16"/>
                <w:szCs w:val="16"/>
              </w:rPr>
              <w:t>Nel caso di cessazione:</w:t>
            </w:r>
          </w:p>
          <w:p>
            <w:pPr>
              <w:pStyle w:val="Normal"/>
              <w:snapToGrid w:val="false"/>
              <w:spacing w:before="0" w:after="57"/>
              <w:ind w:left="283" w:right="0" w:hanging="0"/>
              <w:rPr>
                <w:rFonts w:ascii="Arial" w:hAnsi="Arial" w:cs="Arial"/>
                <w:i w:val="false"/>
                <w:i w:val="false"/>
                <w:iCs w:val="false"/>
                <w:sz w:val="16"/>
                <w:szCs w:val="16"/>
              </w:rPr>
            </w:pPr>
            <w:r>
              <w:rPr>
                <w:rFonts w:eastAsia="Arial Unicode MS" w:cs="Tahoma" w:ascii="Arial" w:hAnsi="Arial"/>
                <w:i w:val="false"/>
                <w:iCs w:val="false"/>
                <w:sz w:val="16"/>
                <w:szCs w:val="16"/>
              </w:rPr>
            </w:r>
            <w:r>
              <w:rPr>
                <w:rFonts w:eastAsia="Arial Unicode MS" w:cs="Tahoma" w:ascii="Arial" w:hAnsi="Arial"/>
                <w:i w:val="false"/>
                <w:iCs w:val="false"/>
                <w:sz w:val="16"/>
                <w:szCs w:val="16"/>
              </w:rPr>
              <w:t xml:space="preserve"> </w:t>
            </w:r>
            <w:r>
              <w:rPr>
                <w:rFonts w:eastAsia="Arial Unicode MS" w:cs="Tahoma" w:ascii="Arial" w:hAnsi="Arial"/>
                <w:i w:val="false"/>
                <w:iCs w:val="false"/>
                <w:sz w:val="16"/>
                <w:szCs w:val="16"/>
              </w:rPr>
              <w:t>Cessazione contestuale alla comunicazione</w:t>
            </w:r>
          </w:p>
          <w:p>
            <w:pPr>
              <w:pStyle w:val="Normal"/>
              <w:snapToGrid w:val="false"/>
              <w:spacing w:before="40" w:after="57"/>
              <w:ind w:left="283" w:right="0" w:hanging="0"/>
              <w:rPr>
                <w:rFonts w:ascii="Arial" w:hAnsi="Arial" w:cs="Arial"/>
                <w:i w:val="false"/>
                <w:i w:val="false"/>
                <w:iCs w:val="false"/>
                <w:sz w:val="16"/>
                <w:szCs w:val="16"/>
              </w:rPr>
            </w:pPr>
            <w:r>
              <w:rPr>
                <w:rFonts w:eastAsia="Arial Unicode MS" w:cs="Tahoma" w:ascii="Arial" w:hAnsi="Arial"/>
                <w:i w:val="false"/>
                <w:iCs w:val="false"/>
                <w:sz w:val="16"/>
                <w:szCs w:val="16"/>
              </w:rPr>
            </w:r>
            <w:r>
              <w:rPr>
                <w:rFonts w:eastAsia="Arial Unicode MS" w:cs="Tahoma" w:ascii="Arial" w:hAnsi="Arial"/>
                <w:i w:val="false"/>
                <w:iCs w:val="false"/>
                <w:sz w:val="16"/>
                <w:szCs w:val="16"/>
              </w:rPr>
              <w:t xml:space="preserve"> </w:t>
            </w:r>
            <w:r>
              <w:rPr>
                <w:rFonts w:eastAsia="Arial Unicode MS" w:cs="Tahoma" w:ascii="Arial" w:hAnsi="Arial"/>
                <w:i w:val="false"/>
                <w:iCs w:val="false"/>
                <w:sz w:val="16"/>
                <w:szCs w:val="16"/>
              </w:rPr>
              <w:t xml:space="preserve">Cessazione con decorrenza dal </w:t>
            </w:r>
            <w:r>
              <w:rPr>
                <w:rFonts w:eastAsia="Arial Unicode MS" w:cs="Arial" w:ascii="Arial" w:hAnsi="Arial"/>
                <w:i w:val="false"/>
                <w:iCs w:val="false"/>
                <w:sz w:val="16"/>
                <w:szCs w:val="16"/>
              </w:rPr>
              <w:t xml:space="preserve"> </w:t>
            </w:r>
            <w:r>
              <w:rPr>
                <w:rFonts w:eastAsia="Arial Unicode MS" w:cs="Tahoma" w:ascii="Arial" w:hAnsi="Arial"/>
                <w:i w:val="false"/>
                <w:iCs w:val="false"/>
                <w:sz w:val="16"/>
                <w:szCs w:val="16"/>
              </w:rPr>
            </w:r>
            <w:sdt>
              <w:sdtPr>
                <w:date>
                  <w:dateFormat w:val=""/>
                  <w:lid w:val="en-US"/>
                  <w:storeMappedDataAs w:val="dateTime"/>
                  <w:calendar w:val="gregorian"/>
                </w:date>
              </w:sdtPr>
              <w:sdtContent>
                <w:r/>
              </w:sdtContent>
            </w:sdt>
            <w:r>
              <w:rPr>
                <w:rFonts w:eastAsia="Arial Unicode MS" w:cs="Tahoma" w:ascii="Arial" w:hAnsi="Arial"/>
                <w:i w:val="false"/>
                <w:iCs w:val="false"/>
                <w:sz w:val="16"/>
                <w:szCs w:val="16"/>
              </w:rPr>
              <w:t xml:space="preserve"> </w:t>
            </w:r>
            <w:r>
              <w:rPr>
                <w:rFonts w:eastAsia="Arial Unicode MS" w:cs="Tahoma" w:ascii="Arial" w:hAnsi="Arial"/>
                <w:i/>
                <w:iCs/>
                <w:sz w:val="12"/>
                <w:szCs w:val="12"/>
              </w:rPr>
              <w:t>(gg/mm/aaaa)</w:t>
            </w:r>
          </w:p>
          <w:p>
            <w:pPr>
              <w:pStyle w:val="Normal"/>
              <w:snapToGrid w:val="false"/>
              <w:spacing w:before="40" w:after="57"/>
              <w:rPr>
                <w:rFonts w:ascii="Arial" w:hAnsi="Arial" w:eastAsia="Arial Unicode MS" w:cs="Tahoma"/>
                <w:i w:val="false"/>
                <w:i w:val="false"/>
                <w:iCs w:val="false"/>
                <w:color w:val="999999"/>
                <w:sz w:val="16"/>
                <w:szCs w:val="16"/>
              </w:rPr>
            </w:pPr>
            <w:r>
              <w:rPr>
                <w:rFonts w:eastAsia="Arial Unicode MS" w:cs="Tahoma" w:ascii="Arial" w:hAnsi="Arial"/>
                <w:i w:val="false"/>
                <w:iCs w:val="false"/>
                <w:color w:val="999999"/>
                <w:sz w:val="16"/>
                <w:szCs w:val="16"/>
              </w:rPr>
              <w:t>Nel caso di sospensione temporanea:</w:t>
            </w:r>
          </w:p>
          <w:p>
            <w:pPr>
              <w:pStyle w:val="Normal"/>
              <w:snapToGrid w:val="false"/>
              <w:spacing w:before="0" w:after="57"/>
              <w:ind w:left="283" w:right="0" w:hanging="0"/>
              <w:rPr>
                <w:rFonts w:ascii="Arial" w:hAnsi="Arial" w:cs="Arial"/>
                <w:i w:val="false"/>
                <w:i w:val="false"/>
                <w:iCs w:val="false"/>
                <w:sz w:val="16"/>
                <w:szCs w:val="16"/>
              </w:rPr>
            </w:pPr>
            <w:r>
              <w:rPr>
                <w:rFonts w:eastAsia="Arial Unicode MS" w:cs="Tahoma" w:ascii="Arial" w:hAnsi="Arial"/>
                <w:i w:val="false"/>
                <w:iCs w:val="false"/>
                <w:sz w:val="16"/>
                <w:szCs w:val="16"/>
              </w:rPr>
            </w:r>
            <w:r>
              <w:rPr>
                <w:rFonts w:eastAsia="Arial Unicode MS" w:cs="Tahoma" w:ascii="Arial" w:hAnsi="Arial"/>
                <w:i w:val="false"/>
                <w:iCs w:val="false"/>
                <w:sz w:val="16"/>
                <w:szCs w:val="16"/>
              </w:rPr>
              <w:t xml:space="preserve"> </w:t>
            </w:r>
            <w:r>
              <w:rPr>
                <w:rFonts w:eastAsia="Arial Unicode MS" w:cs="Tahoma" w:ascii="Arial" w:hAnsi="Arial"/>
                <w:i w:val="false"/>
                <w:iCs w:val="false"/>
                <w:sz w:val="16"/>
                <w:szCs w:val="16"/>
              </w:rPr>
              <w:t>Sospensione contestuale alla comunicazione</w:t>
            </w:r>
          </w:p>
          <w:p>
            <w:pPr>
              <w:pStyle w:val="Normal"/>
              <w:snapToGrid w:val="false"/>
              <w:spacing w:before="40" w:after="57"/>
              <w:ind w:left="283" w:right="0" w:hanging="0"/>
              <w:rPr>
                <w:rFonts w:ascii="Arial" w:hAnsi="Arial" w:cs="Arial"/>
                <w:i w:val="false"/>
                <w:i w:val="false"/>
                <w:iCs w:val="false"/>
                <w:sz w:val="16"/>
                <w:szCs w:val="16"/>
              </w:rPr>
            </w:pPr>
            <w:r>
              <w:rPr>
                <w:rFonts w:eastAsia="Arial Unicode MS" w:cs="Tahoma" w:ascii="Arial" w:hAnsi="Arial"/>
                <w:i w:val="false"/>
                <w:iCs w:val="false"/>
                <w:sz w:val="16"/>
                <w:szCs w:val="16"/>
              </w:rPr>
            </w:r>
            <w:r>
              <w:rPr>
                <w:rFonts w:eastAsia="Arial Unicode MS" w:cs="Tahoma" w:ascii="Arial" w:hAnsi="Arial"/>
                <w:i w:val="false"/>
                <w:iCs w:val="false"/>
                <w:sz w:val="16"/>
                <w:szCs w:val="16"/>
              </w:rPr>
              <w:t xml:space="preserve"> </w:t>
            </w:r>
            <w:r>
              <w:rPr>
                <w:rFonts w:eastAsia="Arial Unicode MS" w:cs="Tahoma" w:ascii="Arial" w:hAnsi="Arial"/>
                <w:i w:val="false"/>
                <w:iCs w:val="false"/>
                <w:sz w:val="16"/>
                <w:szCs w:val="16"/>
              </w:rPr>
              <w:t xml:space="preserve">Sospensione con decorrenza dal </w:t>
            </w:r>
            <w:r>
              <w:rPr>
                <w:rFonts w:eastAsia="Arial Unicode MS" w:cs="Tahoma" w:ascii="Arial" w:hAnsi="Arial"/>
                <w:i w:val="false"/>
                <w:iCs w:val="false"/>
                <w:sz w:val="16"/>
                <w:szCs w:val="16"/>
              </w:rPr>
            </w:r>
            <w:sdt>
              <w:sdtPr>
                <w:date>
                  <w:dateFormat w:val=""/>
                  <w:lid w:val="en-US"/>
                  <w:storeMappedDataAs w:val="dateTime"/>
                  <w:calendar w:val="gregorian"/>
                </w:date>
              </w:sdtPr>
              <w:sdtContent>
                <w:r/>
              </w:sdtContent>
            </w:sdt>
            <w:r>
              <w:rPr>
                <w:rFonts w:eastAsia="Arial Unicode MS" w:cs="Tahoma" w:ascii="Arial" w:hAnsi="Arial"/>
                <w:i w:val="false"/>
                <w:iCs w:val="false"/>
                <w:sz w:val="16"/>
                <w:szCs w:val="16"/>
              </w:rPr>
              <w:t xml:space="preserve"> al </w:t>
            </w:r>
            <w:r>
              <w:rPr>
                <w:rFonts w:eastAsia="Arial Unicode MS" w:cs="Arial" w:ascii="Arial" w:hAnsi="Arial"/>
                <w:i w:val="false"/>
                <w:iCs w:val="false"/>
                <w:sz w:val="16"/>
                <w:szCs w:val="16"/>
              </w:rPr>
              <w:t xml:space="preserve"> </w:t>
            </w:r>
            <w:r>
              <w:rPr>
                <w:rFonts w:eastAsia="Arial Unicode MS" w:cs="Tahoma" w:ascii="Arial" w:hAnsi="Arial"/>
                <w:i w:val="false"/>
                <w:iCs w:val="false"/>
                <w:sz w:val="16"/>
                <w:szCs w:val="16"/>
              </w:rPr>
            </w:r>
            <w:sdt>
              <w:sdtPr>
                <w:date>
                  <w:dateFormat w:val=""/>
                  <w:lid w:val="en-US"/>
                  <w:storeMappedDataAs w:val="dateTime"/>
                  <w:calendar w:val="gregorian"/>
                </w:date>
              </w:sdtPr>
              <w:sdtContent>
                <w:r/>
              </w:sdtContent>
            </w:sdt>
            <w:r>
              <w:rPr>
                <w:rFonts w:eastAsia="Arial Unicode MS" w:cs="Tahoma" w:ascii="Arial" w:hAnsi="Arial"/>
                <w:i w:val="false"/>
                <w:iCs w:val="false"/>
                <w:sz w:val="16"/>
                <w:szCs w:val="16"/>
              </w:rPr>
              <w:t xml:space="preserve"> </w:t>
            </w:r>
            <w:r>
              <w:rPr>
                <w:rFonts w:eastAsia="Arial Unicode MS" w:cs="Tahoma" w:ascii="Arial" w:hAnsi="Arial"/>
                <w:i/>
                <w:iCs/>
                <w:sz w:val="12"/>
                <w:szCs w:val="12"/>
              </w:rPr>
              <w:t>(gg/mm/aaaa)</w:t>
            </w:r>
          </w:p>
        </w:tc>
      </w:tr>
      <w:tr>
        <w:trPr/>
        <w:tc>
          <w:tcPr>
            <w:tcW w:w="96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0" w:type="dxa"/>
            </w:tcMar>
          </w:tcPr>
          <w:p>
            <w:pPr>
              <w:pStyle w:val="TextBody"/>
              <w:suppressLineNumbers/>
              <w:pBdr/>
              <w:snapToGrid w:val="false"/>
              <w:spacing w:before="57" w:after="57"/>
              <w:ind w:left="57" w:right="131" w:hanging="0"/>
              <w:jc w:val="both"/>
              <w:rPr>
                <w:rFonts w:ascii="Arial" w:hAnsi="Arial" w:cs="Arial"/>
                <w:b w:val="false"/>
                <w:bCs w:val="false"/>
                <w:i w:val="false"/>
                <w:iCs w:val="false"/>
                <w:color w:val="auto"/>
                <w:sz w:val="16"/>
                <w:szCs w:val="16"/>
              </w:rPr>
            </w:pPr>
            <w:r>
              <w:rPr>
                <w:rFonts w:cs="Arial" w:ascii="Arial" w:hAnsi="Arial"/>
                <w:bCs w:val="false"/>
                <w:iCs w:val="false"/>
                <w:color w:val="auto"/>
                <w:sz w:val="16"/>
                <w:szCs w:val="16"/>
              </w:rPr>
            </w:r>
            <w:r>
              <w:rPr>
                <w:rFonts w:cs="Arial" w:ascii="Arial" w:hAnsi="Arial"/>
                <w:bCs w:val="false"/>
                <w:iCs w:val="false"/>
                <w:color w:val="auto"/>
                <w:sz w:val="16"/>
                <w:szCs w:val="16"/>
              </w:rPr>
              <w:t xml:space="preserve"> </w:t>
            </w:r>
            <w:r>
              <w:rPr>
                <w:rFonts w:eastAsia="Arial Unicode MS" w:cs="Tahoma" w:ascii="Arial" w:hAnsi="Arial"/>
                <w:b/>
                <w:bCs/>
                <w:iCs w:val="false"/>
                <w:color w:val="auto"/>
                <w:sz w:val="16"/>
                <w:szCs w:val="16"/>
              </w:rPr>
              <w:t xml:space="preserve">(*) </w:t>
            </w:r>
            <w:r>
              <w:rPr>
                <w:rFonts w:cs="Arial" w:ascii="Arial" w:hAnsi="Arial"/>
                <w:bCs w:val="false"/>
                <w:iCs w:val="false"/>
                <w:color w:val="auto"/>
                <w:sz w:val="16"/>
                <w:szCs w:val="16"/>
              </w:rPr>
              <w:t>L'impresa/</w:t>
            </w:r>
            <w:r>
              <w:rPr>
                <w:rFonts w:cs="Arial" w:ascii="Arial" w:hAnsi="Arial"/>
                <w:bCs w:val="false"/>
                <w:iCs w:val="false"/>
                <w:color w:val="auto"/>
                <w:sz w:val="16"/>
                <w:szCs w:val="16"/>
                <w:highlight w:val="white"/>
              </w:rPr>
              <w:t>sede</w:t>
            </w:r>
            <w:r>
              <w:rPr>
                <w:rFonts w:cs="Arial" w:ascii="Arial" w:hAnsi="Arial"/>
                <w:bCs w:val="false"/>
                <w:iCs w:val="false"/>
                <w:color w:val="auto"/>
                <w:sz w:val="16"/>
                <w:szCs w:val="16"/>
              </w:rPr>
              <w:t xml:space="preserve"> cessata è registrata con numero </w:t>
            </w:r>
            <w:r>
              <w:rPr>
                <w:rFonts w:cs="Arial" w:ascii="Arial" w:hAnsi="Arial"/>
                <w:b/>
                <w:bCs w:val="false"/>
                <w:iCs w:val="false"/>
                <w:color w:val="auto"/>
                <w:sz w:val="16"/>
                <w:szCs w:val="16"/>
              </w:rPr>
              <w:t xml:space="preserve">IT06 </w:t>
            </w:r>
            <w:r>
              <w:rPr>
                <w:rFonts w:cs="Arial" w:ascii="Arial" w:hAnsi="Arial"/>
                <w:b/>
                <w:bCs w:val="false"/>
                <w:iCs w:val="false"/>
                <w:color w:val="auto"/>
                <w:sz w:val="16"/>
                <w:szCs w:val="16"/>
              </w:rPr>
            </w:r>
            <w:r>
              <w:rPr>
                <w:rFonts w:cs="Arial" w:ascii="Arial" w:hAnsi="Arial"/>
                <w:b/>
                <w:bCs w:val="false"/>
                <w:iCs w:val="false"/>
                <w:color w:val="auto"/>
                <w:sz w:val="16"/>
                <w:szCs w:val="16"/>
              </w:rPr>
              <w:t xml:space="preserve"> </w:t>
            </w:r>
            <w:r>
              <w:rPr>
                <w:rFonts w:cs="Arial" w:ascii="Arial" w:hAnsi="Arial"/>
                <w:b w:val="false"/>
                <w:bCs w:val="false"/>
                <w:iCs w:val="false"/>
                <w:color w:val="auto"/>
                <w:sz w:val="16"/>
                <w:szCs w:val="16"/>
              </w:rPr>
              <w:t>(8 cifre)</w:t>
            </w:r>
          </w:p>
        </w:tc>
      </w:tr>
    </w:tbl>
    <w:p>
      <w:pPr>
        <w:pStyle w:val="Normal"/>
        <w:rPr>
          <w:rFonts w:ascii="Arial" w:hAnsi="Arial"/>
          <w:sz w:val="16"/>
          <w:szCs w:val="16"/>
        </w:rPr>
      </w:pPr>
      <w:r>
        <w:rPr>
          <w:rFonts w:ascii="Arial" w:hAnsi="Arial"/>
          <w:sz w:val="16"/>
          <w:szCs w:val="16"/>
        </w:rPr>
      </w:r>
    </w:p>
    <w:p>
      <w:pPr>
        <w:pStyle w:val="Normal"/>
        <w:spacing w:before="0" w:after="0"/>
        <w:rPr>
          <w:rFonts w:ascii="Arial" w:hAnsi="Arial"/>
          <w:b/>
          <w:b/>
          <w:bCs/>
          <w:sz w:val="12"/>
          <w:szCs w:val="12"/>
        </w:rPr>
      </w:pPr>
      <w:r>
        <w:rPr>
          <w:rFonts w:ascii="Arial" w:hAnsi="Arial"/>
          <w:b/>
          <w:bCs/>
          <w:sz w:val="12"/>
          <w:szCs w:val="12"/>
        </w:rPr>
        <w:t>INFORMATIVA SULLA PRIVACY (ART. 13 del d.lgs. n. 196/2003)</w:t>
      </w:r>
    </w:p>
    <w:p>
      <w:pPr>
        <w:pStyle w:val="Normal"/>
        <w:rPr>
          <w:rFonts w:ascii="Arial" w:hAnsi="Arial"/>
          <w:sz w:val="12"/>
          <w:szCs w:val="12"/>
        </w:rPr>
      </w:pPr>
      <w:r>
        <w:rPr>
          <w:rFonts w:ascii="Arial" w:hAnsi="Arial"/>
          <w:sz w:val="12"/>
          <w:szCs w:val="12"/>
        </w:rPr>
        <w:t>Il D.Lgs. n. 196 del 30 giugno 2003 (“Codice in materia di protezione dei dati personali”) tutela le persone e gli altri soggetti rispetto al trattamento dei dati personali. Pertanto, come previsto dall’art. 13 del Codice, si forniscono le seguenti informazioni:</w:t>
      </w:r>
    </w:p>
    <w:p>
      <w:pPr>
        <w:pStyle w:val="Normal"/>
        <w:rPr>
          <w:rFonts w:ascii="Arial" w:hAnsi="Arial"/>
          <w:sz w:val="12"/>
          <w:szCs w:val="12"/>
        </w:rPr>
      </w:pPr>
      <w:r>
        <w:rPr>
          <w:rFonts w:ascii="Arial" w:hAnsi="Arial"/>
          <w:sz w:val="12"/>
          <w:szCs w:val="12"/>
        </w:rPr>
        <w:t>Finalità del trattamento. I dati personali saranno utilizzati dagli uffici nell’ambito del procedimento per il quale la dichiarazione viene resa.</w:t>
      </w:r>
    </w:p>
    <w:p>
      <w:pPr>
        <w:pStyle w:val="Normal"/>
        <w:rPr>
          <w:rFonts w:ascii="Arial" w:hAnsi="Arial"/>
          <w:sz w:val="12"/>
          <w:szCs w:val="12"/>
        </w:rPr>
      </w:pPr>
      <w:r>
        <w:rPr>
          <w:rFonts w:ascii="Arial" w:hAnsi="Arial"/>
          <w:sz w:val="12"/>
          <w:szCs w:val="12"/>
        </w:rPr>
        <w:t>Modalità del trattamento. I dati saranno trattati dagli incaricati sia con strumenti cartacei sia con strumenti informatici a disposizione degli uffici.</w:t>
      </w:r>
    </w:p>
    <w:p>
      <w:pPr>
        <w:pStyle w:val="Normal"/>
        <w:rPr>
          <w:rFonts w:ascii="Arial" w:hAnsi="Arial"/>
          <w:sz w:val="12"/>
          <w:szCs w:val="12"/>
        </w:rPr>
      </w:pPr>
      <w:r>
        <w:rPr>
          <w:rFonts w:ascii="Arial" w:hAnsi="Arial"/>
          <w:sz w:val="12"/>
          <w:szCs w:val="12"/>
        </w:rPr>
        <w:t>Ambito di comunicazione.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pPr>
        <w:pStyle w:val="Normal"/>
        <w:rPr>
          <w:rFonts w:ascii="Arial" w:hAnsi="Arial"/>
          <w:sz w:val="12"/>
          <w:szCs w:val="12"/>
        </w:rPr>
      </w:pPr>
      <w:r>
        <w:rPr>
          <w:rFonts w:ascii="Arial" w:hAnsi="Arial"/>
          <w:sz w:val="12"/>
          <w:szCs w:val="12"/>
        </w:rPr>
        <w:t>Diritti. L’interessato può in ogni momento esercitare i diritti di accesso, di rettifica, di aggiornamento e di integrazione dei dati come previsto dall’art. 7 del d.lgs. n. 196/2003. Per esercitare tali diritti tutte le richieste devono essere rivolte al SUAP.</w:t>
      </w:r>
    </w:p>
    <w:p>
      <w:pPr>
        <w:pStyle w:val="Normal"/>
        <w:rPr>
          <w:rFonts w:ascii="Arial" w:hAnsi="Arial"/>
          <w:sz w:val="12"/>
          <w:szCs w:val="12"/>
        </w:rPr>
      </w:pPr>
      <w:r>
        <w:rPr>
          <w:rFonts w:ascii="Arial" w:hAnsi="Arial"/>
          <w:sz w:val="12"/>
          <w:szCs w:val="12"/>
        </w:rPr>
        <w:t>Titolare del trattamento: SUAP in cui è localizzata l'attività</w:t>
      </w:r>
    </w:p>
    <w:p>
      <w:pPr>
        <w:pStyle w:val="Normal"/>
        <w:rPr>
          <w:rFonts w:ascii="Arial" w:hAnsi="Arial"/>
          <w:sz w:val="12"/>
          <w:szCs w:val="12"/>
        </w:rPr>
      </w:pPr>
      <w:r>
        <w:rPr>
          <w:rFonts w:ascii="Arial" w:hAnsi="Arial"/>
          <w:sz w:val="12"/>
          <w:szCs w:val="12"/>
        </w:rPr>
        <w:t>Il/la sottoscritto/a dichiara di aver letto l’informativa sul trattamento dei dati personali.</w:t>
      </w:r>
    </w:p>
    <w:p>
      <w:pPr>
        <w:pStyle w:val="Normal"/>
        <w:rPr>
          <w:rFonts w:ascii="Arial" w:hAnsi="Arial"/>
          <w:sz w:val="16"/>
          <w:szCs w:val="16"/>
        </w:rPr>
      </w:pPr>
      <w:r>
        <w:rPr>
          <w:rFonts w:ascii="Arial" w:hAnsi="Arial"/>
          <w:sz w:val="16"/>
          <w:szCs w:val="16"/>
        </w:rPr>
      </w:r>
    </w:p>
    <w:tbl>
      <w:tblPr>
        <w:tblW w:w="9619" w:type="dxa"/>
        <w:jc w:val="lef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5" w:type="dxa"/>
          <w:bottom w:w="0" w:type="dxa"/>
          <w:right w:w="0" w:type="dxa"/>
        </w:tblCellMar>
      </w:tblPr>
      <w:tblGrid>
        <w:gridCol w:w="5352"/>
        <w:gridCol w:w="4267"/>
      </w:tblGrid>
      <w:tr>
        <w:trPr/>
        <w:tc>
          <w:tcPr>
            <w:tcW w:w="9619"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vAlign w:val="center"/>
          </w:tcPr>
          <w:p>
            <w:pPr>
              <w:pStyle w:val="TableContents"/>
              <w:pBdr/>
              <w:spacing w:before="0" w:after="0"/>
              <w:ind w:left="79" w:right="-85" w:hanging="0"/>
              <w:rPr>
                <w:rFonts w:ascii="Arial" w:hAnsi="Arial"/>
                <w:b/>
                <w:color w:val="FF0000"/>
                <w:sz w:val="28"/>
                <w:szCs w:val="28"/>
              </w:rPr>
            </w:pPr>
            <w:r>
              <w:rPr>
                <w:rFonts w:ascii="Arial" w:hAnsi="Arial"/>
                <w:b/>
                <w:color w:val="FF0000"/>
                <w:sz w:val="28"/>
                <w:szCs w:val="28"/>
              </w:rPr>
              <w:t>4. Opzioni di firma</w:t>
            </w:r>
          </w:p>
        </w:tc>
      </w:tr>
      <w:tr>
        <w:trPr/>
        <w:tc>
          <w:tcPr>
            <w:tcW w:w="5352" w:type="dxa"/>
            <w:tcBorders>
              <w:top w:val="single" w:sz="4" w:space="0" w:color="000000"/>
              <w:left w:val="single" w:sz="4" w:space="0" w:color="000000"/>
              <w:bottom w:val="single" w:sz="4" w:space="0" w:color="000000"/>
              <w:insideH w:val="single" w:sz="4" w:space="0" w:color="000000"/>
            </w:tcBorders>
            <w:shd w:fill="auto" w:val="clear"/>
            <w:tcMar>
              <w:left w:w="-5" w:type="dxa"/>
            </w:tcMar>
          </w:tcPr>
          <w:p>
            <w:pPr>
              <w:pStyle w:val="TableContents"/>
              <w:suppressLineNumbers/>
              <w:pBdr/>
              <w:snapToGrid w:val="false"/>
              <w:spacing w:before="57" w:after="57"/>
              <w:ind w:left="57" w:right="131" w:hanging="0"/>
              <w:jc w:val="both"/>
              <w:rPr>
                <w:rFonts w:ascii="Arial" w:hAnsi="Arial" w:cs="Arial"/>
                <w:b w:val="false"/>
                <w:bCs w:val="false"/>
                <w:i w:val="false"/>
                <w:iCs w:val="false"/>
                <w:sz w:val="16"/>
                <w:szCs w:val="16"/>
              </w:rPr>
            </w:pPr>
            <w:r>
              <w:rPr>
                <w:rFonts w:cs="Arial" w:ascii="Arial" w:hAnsi="Arial"/>
                <w:b/>
                <w:bCs/>
                <w:iCs w:val="false"/>
                <w:sz w:val="16"/>
                <w:szCs w:val="16"/>
              </w:rPr>
              <w:t>In caso sia stata conferita procura speciale</w:t>
            </w:r>
            <w:r>
              <w:rPr>
                <w:rFonts w:cs="Arial" w:ascii="Arial" w:hAnsi="Arial"/>
                <w:bCs w:val="false"/>
                <w:iCs w:val="false"/>
                <w:sz w:val="16"/>
                <w:szCs w:val="16"/>
              </w:rPr>
              <w:t xml:space="preserve">, il presente documento è sottoscritto con </w:t>
            </w:r>
            <w:r>
              <w:rPr>
                <w:rFonts w:cs="Arial" w:ascii="Arial" w:hAnsi="Arial"/>
                <w:b/>
                <w:bCs/>
                <w:iCs w:val="false"/>
                <w:sz w:val="16"/>
                <w:szCs w:val="16"/>
              </w:rPr>
              <w:t>firma autografa</w:t>
            </w:r>
            <w:r>
              <w:rPr>
                <w:rFonts w:cs="Arial" w:ascii="Arial" w:hAnsi="Arial"/>
                <w:bCs w:val="false"/>
                <w:iCs w:val="false"/>
                <w:sz w:val="16"/>
                <w:szCs w:val="16"/>
              </w:rPr>
              <w:t xml:space="preserve"> dal soggetto delegante e conservato in originale dal procuratore, il quale provvederà a firmare digitalmente il modulo inviato al SUAP</w:t>
            </w:r>
          </w:p>
        </w:tc>
        <w:tc>
          <w:tcPr>
            <w:tcW w:w="426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tcMar>
          </w:tcPr>
          <w:p>
            <w:pPr>
              <w:pStyle w:val="Normal"/>
              <w:snapToGrid w:val="false"/>
              <w:spacing w:before="57" w:after="0"/>
              <w:ind w:left="103" w:right="0" w:hanging="0"/>
              <w:rPr>
                <w:rFonts w:ascii="Arial" w:hAnsi="Arial" w:cs="Arial"/>
                <w:b w:val="false"/>
                <w:bCs w:val="false"/>
                <w:i w:val="false"/>
                <w:iCs w:val="false"/>
                <w:sz w:val="12"/>
                <w:szCs w:val="12"/>
              </w:rPr>
            </w:pPr>
            <w:r>
              <w:rPr>
                <w:rFonts w:cs="Arial" w:ascii="Arial" w:hAnsi="Arial"/>
                <w:bCs w:val="false"/>
                <w:iCs w:val="false"/>
                <w:sz w:val="12"/>
                <w:szCs w:val="12"/>
              </w:rPr>
              <w:t>(Firma autografa in questo spazio)</w:t>
            </w:r>
          </w:p>
        </w:tc>
      </w:tr>
    </w:tbl>
    <w:p>
      <w:pPr>
        <w:pStyle w:val="Normal"/>
        <w:rPr>
          <w:sz w:val="16"/>
          <w:szCs w:val="16"/>
        </w:rPr>
      </w:pPr>
      <w:r>
        <w:rPr>
          <w:sz w:val="16"/>
          <w:szCs w:val="16"/>
        </w:rPr>
      </w:r>
    </w:p>
    <w:tbl>
      <w:tblPr>
        <w:tblW w:w="9621" w:type="dxa"/>
        <w:jc w:val="left"/>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8" w:type="dxa"/>
          <w:left w:w="103" w:type="dxa"/>
          <w:bottom w:w="108" w:type="dxa"/>
          <w:right w:w="108" w:type="dxa"/>
        </w:tblCellMar>
      </w:tblPr>
      <w:tblGrid>
        <w:gridCol w:w="9621"/>
      </w:tblGrid>
      <w:tr>
        <w:trPr>
          <w:trHeight w:val="1376" w:hRule="atLeast"/>
        </w:trPr>
        <w:tc>
          <w:tcPr>
            <w:tcW w:w="962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Normal"/>
              <w:snapToGrid w:val="false"/>
              <w:spacing w:before="0" w:after="57"/>
              <w:jc w:val="both"/>
              <w:rPr>
                <w:rFonts w:ascii="Arial" w:hAnsi="Arial" w:cs="Arial"/>
                <w:b/>
                <w:b/>
                <w:color w:val="0000FF"/>
                <w:sz w:val="20"/>
                <w:szCs w:val="20"/>
              </w:rPr>
            </w:pPr>
            <w:r>
              <w:rPr>
                <w:rFonts w:cs="Arial" w:ascii="Arial" w:hAnsi="Arial"/>
                <w:b/>
                <w:color w:val="0000FF"/>
                <w:sz w:val="20"/>
                <w:szCs w:val="20"/>
              </w:rPr>
              <w:t>Note di compilazione</w:t>
            </w:r>
          </w:p>
          <w:p>
            <w:pPr>
              <w:pStyle w:val="Normal"/>
              <w:snapToGrid w:val="false"/>
              <w:jc w:val="left"/>
              <w:rPr>
                <w:rFonts w:ascii="Arial" w:hAnsi="Arial"/>
                <w:b/>
                <w:b/>
                <w:bCs/>
                <w:color w:val="auto"/>
                <w:sz w:val="12"/>
                <w:szCs w:val="12"/>
              </w:rPr>
            </w:pPr>
            <w:r>
              <w:rPr>
                <w:rFonts w:ascii="Arial" w:hAnsi="Arial"/>
                <w:b/>
                <w:bCs/>
                <w:color w:val="auto"/>
                <w:sz w:val="12"/>
                <w:szCs w:val="12"/>
              </w:rPr>
              <w:t>A seguito dell'Accordo raggiunto sulla modulistica unificata e standardizzata, approvata dalla Conferenza Unificata  in data 4 maggio 2017:</w:t>
            </w:r>
          </w:p>
          <w:p>
            <w:pPr>
              <w:pStyle w:val="Normal"/>
              <w:snapToGrid w:val="false"/>
              <w:jc w:val="both"/>
              <w:rPr>
                <w:rFonts w:ascii="Arial" w:hAnsi="Arial"/>
                <w:sz w:val="12"/>
                <w:szCs w:val="12"/>
              </w:rPr>
            </w:pPr>
            <w:r>
              <w:rPr>
                <w:rFonts w:ascii="Arial" w:hAnsi="Arial"/>
                <w:sz w:val="12"/>
                <w:szCs w:val="12"/>
              </w:rPr>
              <w:t>1) Non potranno più essere richiesti certificati, atti e documenti che la Pubblica Amministrazione già possiede (per esempio: le certificazioni relative ai titoli di studio o professionali, richiesti per avviare alcune attività, la certificazione antimafia, etc.), ma solo gli elementi che consentano all'amministrazione di acquisirli o di effettuare i relativi controlli, anche a campione (articolo 18, legge n. 241 del 1990).</w:t>
            </w:r>
          </w:p>
          <w:p>
            <w:pPr>
              <w:pStyle w:val="Normal"/>
              <w:snapToGrid w:val="false"/>
              <w:jc w:val="both"/>
              <w:rPr>
                <w:rFonts w:ascii="Arial" w:hAnsi="Arial"/>
                <w:sz w:val="12"/>
                <w:szCs w:val="12"/>
              </w:rPr>
            </w:pPr>
            <w:r>
              <w:rPr>
                <w:rFonts w:ascii="Arial" w:hAnsi="Arial"/>
                <w:sz w:val="12"/>
                <w:szCs w:val="12"/>
              </w:rPr>
              <w:t>2) Non potranno più essere richiesti dati e adempimenti che derivano da prassi amministrative, ma che non sono espressamente previsti dalla legge (ad esempio: non potrà più essere richiesto il certificato di agibilità dei locali per l'avvio di un'attività commerciale o produttiva). Sarà sufficiente una semplice dichiarazione di conformità ai regolamenti urbanistici, igienico sanitari, etc.</w:t>
            </w:r>
          </w:p>
        </w:tc>
      </w:tr>
    </w:tbl>
    <w:p>
      <w:pPr>
        <w:pStyle w:val="Normal"/>
        <w:snapToGrid w:val="false"/>
        <w:jc w:val="both"/>
        <w:rPr>
          <w:rFonts w:ascii="Arial" w:hAnsi="Arial"/>
          <w:sz w:val="12"/>
          <w:szCs w:val="12"/>
        </w:rPr>
      </w:pPr>
      <w:r>
        <w:rPr>
          <w:rFonts w:ascii="Arial" w:hAnsi="Arial"/>
          <w:sz w:val="12"/>
          <w:szCs w:val="12"/>
        </w:rPr>
      </w:r>
    </w:p>
    <w:p>
      <w:pPr>
        <w:pStyle w:val="Normal"/>
        <w:snapToGrid w:val="false"/>
        <w:jc w:val="both"/>
        <w:rPr>
          <w:rFonts w:ascii="Arial" w:hAnsi="Arial"/>
          <w:sz w:val="12"/>
          <w:szCs w:val="12"/>
        </w:rPr>
      </w:pPr>
      <w:r>
        <w:rPr>
          <w:rFonts w:ascii="Arial" w:hAnsi="Arial"/>
          <w:sz w:val="12"/>
          <w:szCs w:val="12"/>
        </w:rPr>
        <w:t>Attenzione: qualora dai controlli successivi il contenuto delle dichiarazioni risulti non corrispondente al vero, oltre alle sanzioni penali, è prevista la decadenza dai benefici ottenuti sulla base delle dichiarazioni stesse (art. 75 del DPR 445 del 2000).</w:t>
      </w:r>
      <w:r>
        <w:br w:type="page"/>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2408"/>
        <w:gridCol w:w="3639"/>
        <w:gridCol w:w="3591"/>
      </w:tblGrid>
      <w:tr>
        <w:trPr/>
        <w:tc>
          <w:tcPr>
            <w:tcW w:w="9638" w:type="dxa"/>
            <w:gridSpan w:val="3"/>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pageBreakBefore/>
              <w:numPr>
                <w:ilvl w:val="0"/>
                <w:numId w:val="0"/>
              </w:numPr>
              <w:spacing w:before="57" w:after="57"/>
              <w:ind w:left="0" w:right="0" w:hanging="0"/>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 xml:space="preserve">Quadro riepilogativo della documentazione allegata </w:t>
            </w:r>
          </w:p>
        </w:tc>
      </w:tr>
      <w:tr>
        <w:trPr/>
        <w:tc>
          <w:tcPr>
            <w:tcW w:w="9638" w:type="dxa"/>
            <w:gridSpan w:val="3"/>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Il sistema SUAP in rete propone automaticamente i moduli e gli allegati necessari per il procedimento scelto</w:t>
            </w:r>
          </w:p>
        </w:tc>
      </w:tr>
      <w:tr>
        <w:trPr/>
        <w:tc>
          <w:tcPr>
            <w:tcW w:w="2408"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Heading2"/>
              <w:keepNext w:val="true"/>
              <w:numPr>
                <w:ilvl w:val="0"/>
                <w:numId w:val="0"/>
              </w:numPr>
              <w:spacing w:before="57" w:after="57"/>
              <w:ind w:left="0" w:right="0" w:hanging="0"/>
              <w:jc w:val="center"/>
              <w:rPr>
                <w:rFonts w:ascii="Arial" w:hAnsi="Arial" w:eastAsia="Arial Unicode MS" w:cs="Tahoma"/>
                <w:b w:val="false"/>
                <w:b w:val="false"/>
                <w:bCs w:val="false"/>
                <w:i w:val="false"/>
                <w:i w:val="false"/>
                <w:iCs w:val="false"/>
                <w:color w:val="0000FF"/>
                <w:sz w:val="16"/>
                <w:szCs w:val="16"/>
              </w:rPr>
            </w:pPr>
            <w:r>
              <w:rPr>
                <w:rFonts w:eastAsia="Arial Unicode MS" w:cs="Tahoma"/>
                <w:b w:val="false"/>
                <w:bCs w:val="false"/>
                <w:i w:val="false"/>
                <w:iCs w:val="false"/>
                <w:color w:val="0000FF"/>
                <w:sz w:val="16"/>
                <w:szCs w:val="16"/>
              </w:rPr>
              <w:t xml:space="preserve">Denominazione </w:t>
            </w:r>
          </w:p>
        </w:tc>
        <w:tc>
          <w:tcPr>
            <w:tcW w:w="3639"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Heading2"/>
              <w:keepNext w:val="true"/>
              <w:numPr>
                <w:ilvl w:val="0"/>
                <w:numId w:val="0"/>
              </w:numPr>
              <w:spacing w:before="57" w:after="57"/>
              <w:ind w:left="0" w:right="0" w:hanging="0"/>
              <w:jc w:val="center"/>
              <w:rPr>
                <w:rFonts w:ascii="Arial" w:hAnsi="Arial" w:eastAsia="Arial Unicode MS" w:cs="Tahoma"/>
                <w:b w:val="false"/>
                <w:b w:val="false"/>
                <w:bCs w:val="false"/>
                <w:i w:val="false"/>
                <w:i w:val="false"/>
                <w:iCs w:val="false"/>
                <w:color w:val="0000FF"/>
                <w:sz w:val="16"/>
                <w:szCs w:val="16"/>
              </w:rPr>
            </w:pPr>
            <w:r>
              <w:rPr>
                <w:rFonts w:eastAsia="Arial Unicode MS" w:cs="Tahoma"/>
                <w:b w:val="false"/>
                <w:bCs w:val="false"/>
                <w:i w:val="false"/>
                <w:iCs w:val="false"/>
                <w:color w:val="0000FF"/>
                <w:sz w:val="16"/>
                <w:szCs w:val="16"/>
              </w:rPr>
              <w:t>Casi in cui è previsto il documento allegato</w:t>
            </w:r>
          </w:p>
        </w:tc>
        <w:tc>
          <w:tcPr>
            <w:tcW w:w="3591"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snapToGrid w:val="false"/>
              <w:ind w:left="57" w:right="0" w:hanging="0"/>
              <w:jc w:val="both"/>
              <w:rPr>
                <w:rFonts w:ascii="Arial" w:hAnsi="Arial" w:eastAsia="Arial Unicode MS" w:cs="Tahoma"/>
                <w:i w:val="false"/>
                <w:i w:val="false"/>
                <w:iCs w:val="false"/>
                <w:color w:val="0000FF"/>
                <w:sz w:val="16"/>
                <w:szCs w:val="16"/>
              </w:rPr>
            </w:pPr>
            <w:r>
              <w:rPr>
                <w:rFonts w:eastAsia="Arial Unicode MS" w:cs="Tahoma" w:ascii="Arial" w:hAnsi="Arial"/>
                <w:i w:val="false"/>
                <w:iCs w:val="false"/>
                <w:color w:val="0000FF"/>
                <w:sz w:val="16"/>
                <w:szCs w:val="16"/>
              </w:rPr>
              <w:t>Caratteristiche di alcuni documenti allegati</w:t>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Procura/delega </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Nel caso di procura/delega a presentare la segnalazione</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sz w:val="12"/>
                <w:szCs w:val="12"/>
              </w:rPr>
            </w:pPr>
            <w:r>
              <w:rPr>
                <w:sz w:val="12"/>
                <w:szCs w:val="12"/>
              </w:rPr>
            </w:r>
          </w:p>
        </w:tc>
      </w:tr>
      <w:tr>
        <w:trPr/>
        <w:tc>
          <w:tcPr>
            <w:tcW w:w="2408"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Copia del documento di identità del/i titolare/i</w:t>
            </w:r>
          </w:p>
        </w:tc>
        <w:tc>
          <w:tcPr>
            <w:tcW w:w="3639" w:type="dxa"/>
            <w:tcBorders>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Nel caso in cui la segnalazione non sia sottoscritta in forma digitale e in assenza di procura</w:t>
            </w:r>
          </w:p>
        </w:tc>
        <w:tc>
          <w:tcPr>
            <w:tcW w:w="3591"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r>
          </w:p>
        </w:tc>
      </w:tr>
    </w:tbl>
    <w:p>
      <w:pPr>
        <w:pStyle w:val="Normal"/>
        <w:snapToGrid w:val="false"/>
        <w:jc w:val="both"/>
        <w:rPr>
          <w:rFonts w:ascii="Arial" w:hAnsi="Arial"/>
          <w:sz w:val="12"/>
          <w:szCs w:val="12"/>
        </w:rPr>
      </w:pPr>
      <w:r>
        <w:rPr>
          <w:rFonts w:ascii="Arial" w:hAnsi="Arial"/>
          <w:sz w:val="12"/>
          <w:szCs w:val="12"/>
        </w:rPr>
      </w:r>
    </w:p>
    <w:p>
      <w:pPr>
        <w:pStyle w:val="Normal"/>
        <w:snapToGrid w:val="false"/>
        <w:jc w:val="both"/>
        <w:rPr>
          <w:rFonts w:ascii="Arial" w:hAnsi="Arial"/>
          <w:sz w:val="12"/>
          <w:szCs w:val="12"/>
        </w:rPr>
      </w:pPr>
      <w:r>
        <w:rPr>
          <w:rFonts w:ascii="Arial" w:hAnsi="Arial"/>
          <w:sz w:val="12"/>
          <w:szCs w:val="12"/>
        </w:rPr>
      </w:r>
    </w:p>
    <w:tbl>
      <w:tblPr>
        <w:tblW w:w="9638" w:type="dxa"/>
        <w:jc w:val="left"/>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Pr>
      <w:tblGrid>
        <w:gridCol w:w="4743"/>
        <w:gridCol w:w="4895"/>
      </w:tblGrid>
      <w:tr>
        <w:trPr/>
        <w:tc>
          <w:tcPr>
            <w:tcW w:w="9638"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keepNext w:val="true"/>
              <w:numPr>
                <w:ilvl w:val="0"/>
                <w:numId w:val="0"/>
              </w:numPr>
              <w:spacing w:before="57" w:after="57"/>
              <w:ind w:left="0" w:right="0" w:hanging="0"/>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SEGNALAZIONI O COMUNICAZIONI COLLEGATE (utilizzando il sistema telematico)</w:t>
            </w:r>
          </w:p>
        </w:tc>
      </w:tr>
      <w:tr>
        <w:trPr/>
        <w:tc>
          <w:tcPr>
            <w:tcW w:w="9638" w:type="dxa"/>
            <w:gridSpan w:val="2"/>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Heading2"/>
              <w:numPr>
                <w:ilvl w:val="1"/>
                <w:numId w:val="1"/>
              </w:numPr>
              <w:spacing w:before="57" w:after="57"/>
              <w:ind w:left="0" w:right="0" w:hanging="576"/>
              <w:jc w:val="center"/>
              <w:rPr>
                <w:rFonts w:ascii="Arial" w:hAnsi="Arial" w:eastAsia="Arial Unicode MS" w:cs="Tahoma"/>
                <w:i w:val="false"/>
                <w:i w:val="false"/>
                <w:iCs w:val="false"/>
                <w:color w:val="0000FF"/>
                <w:sz w:val="16"/>
                <w:szCs w:val="16"/>
              </w:rPr>
            </w:pPr>
            <w:r>
              <w:rPr>
                <w:rFonts w:eastAsia="Arial Unicode MS" w:cs="Tahoma"/>
                <w:i w:val="false"/>
                <w:iCs w:val="false"/>
                <w:color w:val="0000FF"/>
                <w:sz w:val="16"/>
                <w:szCs w:val="16"/>
              </w:rPr>
              <w:t>Segnalazioni e comunicazioni</w:t>
            </w:r>
          </w:p>
        </w:tc>
      </w:tr>
      <w:tr>
        <w:trPr/>
        <w:tc>
          <w:tcPr>
            <w:tcW w:w="4743" w:type="dxa"/>
            <w:tcBorders>
              <w:top w:val="single" w:sz="2" w:space="0" w:color="000000"/>
              <w:left w:val="single" w:sz="2" w:space="0" w:color="000000"/>
              <w:bottom w:val="single" w:sz="2" w:space="0" w:color="000000"/>
              <w:insideH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 xml:space="preserve">Notifica sanitaria (art. 6, Reg.CE n. 852/2004) </w:t>
            </w:r>
          </w:p>
        </w:tc>
        <w:tc>
          <w:tcPr>
            <w:tcW w:w="4895"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Normal"/>
              <w:ind w:left="57" w:right="0" w:hanging="0"/>
              <w:rPr>
                <w:rFonts w:ascii="Arial" w:hAnsi="Arial"/>
                <w:b w:val="false"/>
                <w:b w:val="false"/>
                <w:bCs w:val="false"/>
                <w:sz w:val="12"/>
                <w:szCs w:val="12"/>
              </w:rPr>
            </w:pPr>
            <w:r>
              <w:rPr>
                <w:rFonts w:ascii="Arial" w:hAnsi="Arial"/>
                <w:b w:val="false"/>
                <w:bCs w:val="false"/>
                <w:sz w:val="12"/>
                <w:szCs w:val="12"/>
              </w:rPr>
              <w:t>Sempre obbligatoria in caso di cessazione esercizio alimentare</w:t>
            </w:r>
          </w:p>
        </w:tc>
      </w:tr>
    </w:tbl>
    <w:p>
      <w:pPr>
        <w:pStyle w:val="Normal"/>
        <w:rPr/>
      </w:pPr>
      <w:r>
        <w:rPr/>
      </w:r>
    </w:p>
    <w:sectPr>
      <w:headerReference w:type="default" r:id="rId2"/>
      <w:footerReference w:type="default" r:id="rId3"/>
      <w:footnotePr>
        <w:numFmt w:val="decimal"/>
      </w:footnotePr>
      <w:type w:val="nextPage"/>
      <w:pgSz w:w="11906" w:h="16838"/>
      <w:pgMar w:left="1134" w:right="1134" w:header="1134" w:top="1785" w:footer="1134" w:bottom="1601"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sz w:val="16"/>
        <w:szCs w:val="16"/>
      </w:rPr>
    </w:pPr>
    <w:r>
      <w:rPr>
        <w:rFonts w:ascii="Arial" w:hAnsi="Arial"/>
        <w:sz w:val="16"/>
        <w:szCs w:val="16"/>
      </w:rPr>
      <w:fldChar w:fldCharType="begin"/>
    </w:r>
    <w:r>
      <w:instrText> PAGE </w:instrText>
    </w:r>
    <w:r>
      <w:fldChar w:fldCharType="separate"/>
    </w:r>
    <w:r>
      <w:t>2</w:t>
    </w:r>
    <w:r>
      <w:fldChar w:fldCharType="end"/>
    </w:r>
    <w:r>
      <w:rPr>
        <w:rFonts w:ascii="Arial" w:hAnsi="Arial"/>
        <w:sz w:val="16"/>
        <w:szCs w:val="16"/>
      </w:rPr>
      <w:t>/</w:t>
    </w:r>
    <w:r>
      <w:rPr>
        <w:rFonts w:ascii="Arial" w:hAnsi="Arial"/>
        <w:sz w:val="16"/>
        <w:szCs w:val="16"/>
      </w:rPr>
      <w:fldChar w:fldCharType="begin"/>
    </w:r>
    <w:r>
      <w:instrText> NUMPAGES </w:instrText>
    </w:r>
    <w:r>
      <w:fldChar w:fldCharType="separate"/>
    </w:r>
    <w:r>
      <w:t>2</w:t>
    </w:r>
    <w: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rFonts w:ascii="Arial" w:hAnsi="Arial"/>
          <w:sz w:val="12"/>
          <w:szCs w:val="12"/>
        </w:rPr>
      </w:pPr>
      <w:r>
        <w:rPr>
          <w:rFonts w:eastAsia="Arial Unicode MS" w:cs="Tahoma" w:ascii="Arial" w:hAnsi="Arial"/>
          <w:b/>
          <w:bCs/>
          <w:iCs w:val="false"/>
          <w:color w:val="auto"/>
          <w:sz w:val="16"/>
          <w:szCs w:val="16"/>
        </w:rPr>
        <w:footnoteRef/>
        <w:tab/>
        <w:t xml:space="preserve">(*) </w:t>
      </w:r>
      <w:r>
        <w:rPr>
          <w:rFonts w:ascii="Arial" w:hAnsi="Arial"/>
          <w:sz w:val="12"/>
          <w:szCs w:val="12"/>
        </w:rPr>
        <w:t xml:space="preserve">ATTENZIONE: La sospensione dell'attività degli esercizi di vendita al dettaglio di vicinato, di media e grande struttura, qualora debba protrarsi per più di trenta giorni, è comunicata dagli operatori commerciali al Comune almeno dieci giorni prima del suo inizio. </w:t>
      </w:r>
    </w:p>
    <w:p>
      <w:pPr>
        <w:pStyle w:val="Footnote"/>
        <w:suppressLineNumbers/>
        <w:ind w:left="283" w:right="0" w:firstLine="8"/>
        <w:rPr>
          <w:rFonts w:ascii="Arial" w:hAnsi="Arial"/>
          <w:sz w:val="12"/>
          <w:szCs w:val="12"/>
        </w:rPr>
      </w:pPr>
      <w:r>
        <w:rPr>
          <w:rFonts w:ascii="Arial" w:hAnsi="Arial"/>
          <w:sz w:val="12"/>
          <w:szCs w:val="12"/>
        </w:rPr>
        <w:tab/>
        <w:t>Si ricorda che, per gli esercizi di di vendita al dettaglio di vicinato, di media e grande struttura, nonché di somministrazione, la mancata riapertura entro il termine di 12 mesi, salvo proroga in caso di comprovata necessità, comporta la decadenza del titolo abilitativo (rispettivamente art. 80, comma 9 lettera b) e art. 83, comma 4 lettera b) della L.R. 29/05).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ing7"/>
      <w:numPr>
        <w:ilvl w:val="6"/>
        <w:numId w:val="1"/>
      </w:numPr>
      <w:pBdr/>
      <w:snapToGrid w:val="false"/>
      <w:spacing w:before="0" w:after="0"/>
      <w:jc w:val="left"/>
      <w:outlineLvl w:val="6"/>
      <w:rPr>
        <w:rFonts w:ascii="Arial" w:hAnsi="Arial" w:cs="Arial"/>
        <w:b/>
        <w:b/>
        <w:bCs/>
        <w:i w:val="false"/>
        <w:i w:val="false"/>
        <w:sz w:val="16"/>
        <w:szCs w:val="16"/>
      </w:rPr>
    </w:pPr>
    <w:r>
      <w:rPr>
        <w:rFonts w:cs="Arial" w:ascii="Arial" w:hAnsi="Arial"/>
        <w:b/>
        <w:bCs/>
        <w:i w:val="false"/>
        <w:sz w:val="16"/>
        <w:szCs w:val="16"/>
      </w:rPr>
      <w:t>C6 - Cessazione o sospensione temporanea</w:t>
    </w:r>
  </w:p>
  <w:p>
    <w:pPr>
      <w:pStyle w:val="Normal"/>
      <w:spacing w:before="0" w:after="0"/>
      <w:rPr>
        <w:rFonts w:ascii="Arial" w:hAnsi="Arial"/>
        <w:b/>
        <w:b/>
        <w:bCs/>
        <w:sz w:val="16"/>
        <w:szCs w:val="16"/>
      </w:rPr>
    </w:pPr>
    <w:r>
      <w:rPr>
        <w:rFonts w:ascii="Arial" w:hAnsi="Arial"/>
        <w:b/>
        <w:bCs/>
        <w:sz w:val="16"/>
        <w:szCs w:val="16"/>
      </w:rPr>
      <w:t>Data ultima versione del modello: 19/06/2017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lvl>
    <w:lvl w:ilvl="1">
      <w:start w:val="1"/>
      <w:pStyle w:val="Heading2"/>
      <w:numFmt w:val="none"/>
      <w:suff w:val="nothing"/>
      <w:lvlText w:val=""/>
      <w:lvlJc w:val="left"/>
      <w:pPr>
        <w:tabs>
          <w:tab w:val="num" w:pos="576"/>
        </w:tabs>
        <w:ind w:left="576" w:hanging="576"/>
      </w:pPr>
    </w:lvl>
    <w:lvl w:ilvl="2">
      <w:start w:val="1"/>
      <w:pStyle w:val="Heading3"/>
      <w:numFmt w:val="none"/>
      <w:suff w:val="nothing"/>
      <w:lvlText w:val=""/>
      <w:lvlJc w:val="left"/>
      <w:pPr>
        <w:tabs>
          <w:tab w:val="num" w:pos="720"/>
        </w:tabs>
        <w:ind w:left="720" w:hanging="720"/>
      </w:pPr>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pStyle w:val="Heading7"/>
      <w:numFmt w:val="none"/>
      <w:suff w:val="nothing"/>
      <w:lvlText w:val=""/>
      <w:lvlJc w:val="left"/>
      <w:pPr>
        <w:tabs>
          <w:tab w:val="num" w:pos="1296"/>
        </w:tabs>
        <w:ind w:left="1296" w:hanging="1296"/>
      </w:pPr>
    </w:lvl>
    <w:lvl w:ilvl="7">
      <w:start w:val="1"/>
      <w:pStyle w:val="Heading8"/>
      <w:numFmt w:val="none"/>
      <w:suff w:val="nothing"/>
      <w:lvlText w:val=""/>
      <w:lvlJc w:val="left"/>
      <w:pPr>
        <w:tabs>
          <w:tab w:val="num" w:pos="1440"/>
        </w:tabs>
        <w:ind w:left="1440" w:hanging="1440"/>
      </w:pPr>
    </w:lvl>
    <w:lvl w:ilvl="8">
      <w:start w:val="1"/>
      <w:pStyle w:val="Heading9"/>
      <w:numFmt w:val="none"/>
      <w:suff w:val="nothing"/>
      <w:lvlText w:val=""/>
      <w:lvlJc w:val="left"/>
      <w:pPr>
        <w:tabs>
          <w:tab w:val="num" w:pos="1584"/>
        </w:tabs>
        <w:ind w:left="1584" w:hanging="1584"/>
      </w:pPr>
    </w:lvl>
  </w:abstractNum>
  <w:num w:numId="1">
    <w:abstractNumId w:val="1"/>
  </w:num>
</w:numbering>
</file>

<file path=word/settings.xml><?xml version="1.0" encoding="utf-8"?>
<w:settings xmlns:w="http://schemas.openxmlformats.org/wordprocessingml/2006/main">
  <w:zoom w:percent="150"/>
  <w:defaultTabStop w:val="709"/>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sz w:val="24"/>
        <w:szCs w:val="24"/>
        <w:lang w:val="it-IT"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sz w:val="24"/>
      <w:szCs w:val="24"/>
      <w:lang w:val="it-IT" w:eastAsia="zh-CN" w:bidi="hi-IN"/>
    </w:rPr>
  </w:style>
  <w:style w:type="paragraph" w:styleId="Heading1">
    <w:name w:val="Heading 1"/>
    <w:basedOn w:val="Heading"/>
    <w:next w:val="TextBody"/>
    <w:qFormat/>
    <w:pPr>
      <w:numPr>
        <w:ilvl w:val="0"/>
        <w:numId w:val="1"/>
      </w:numPr>
      <w:outlineLvl w:val="0"/>
    </w:pPr>
    <w:rPr>
      <w:b/>
      <w:bCs/>
      <w:color w:val="FF3333"/>
      <w:sz w:val="32"/>
      <w:szCs w:val="32"/>
    </w:rPr>
  </w:style>
  <w:style w:type="paragraph" w:styleId="Heading2">
    <w:name w:val="Heading 2"/>
    <w:basedOn w:val="Heading"/>
    <w:next w:val="TextBody"/>
    <w:qFormat/>
    <w:pPr>
      <w:numPr>
        <w:ilvl w:val="1"/>
        <w:numId w:val="1"/>
      </w:numPr>
      <w:outlineLvl w:val="1"/>
    </w:pPr>
    <w:rPr>
      <w:b/>
      <w:bCs/>
      <w:i/>
      <w:iCs/>
      <w:sz w:val="22"/>
      <w:szCs w:val="28"/>
    </w:rPr>
  </w:style>
  <w:style w:type="paragraph" w:styleId="Heading3">
    <w:name w:val="Heading 3"/>
    <w:basedOn w:val="Heading"/>
    <w:next w:val="TextBody"/>
    <w:qFormat/>
    <w:pPr>
      <w:numPr>
        <w:ilvl w:val="2"/>
        <w:numId w:val="1"/>
      </w:numPr>
      <w:spacing w:before="0" w:after="0"/>
      <w:ind w:left="0" w:right="0" w:hanging="0"/>
      <w:textAlignment w:val="center"/>
      <w:outlineLvl w:val="2"/>
    </w:pPr>
    <w:rPr>
      <w:b w:val="false"/>
      <w:bCs/>
      <w:sz w:val="18"/>
      <w:szCs w:val="28"/>
    </w:rPr>
  </w:style>
  <w:style w:type="paragraph" w:styleId="Heading7">
    <w:name w:val="Heading 7"/>
    <w:basedOn w:val="Normal"/>
    <w:next w:val="Normal"/>
    <w:qFormat/>
    <w:pPr>
      <w:keepNext w:val="true"/>
      <w:numPr>
        <w:ilvl w:val="6"/>
        <w:numId w:val="1"/>
      </w:numPr>
      <w:tabs>
        <w:tab w:val="left" w:pos="1980" w:leader="none"/>
      </w:tabs>
      <w:spacing w:before="0" w:after="0"/>
      <w:ind w:left="0" w:right="0" w:hanging="0"/>
      <w:jc w:val="center"/>
      <w:outlineLvl w:val="6"/>
    </w:pPr>
    <w:rPr>
      <w:i/>
      <w:iCs/>
      <w:sz w:val="20"/>
    </w:rPr>
  </w:style>
  <w:style w:type="paragraph" w:styleId="Heading8">
    <w:name w:val="Heading 8"/>
    <w:basedOn w:val="Heading"/>
    <w:next w:val="TextBody"/>
    <w:qFormat/>
    <w:pPr>
      <w:numPr>
        <w:ilvl w:val="7"/>
        <w:numId w:val="1"/>
      </w:numPr>
      <w:outlineLvl w:val="7"/>
    </w:pPr>
    <w:rPr>
      <w:b/>
      <w:bCs/>
      <w:sz w:val="21"/>
      <w:szCs w:val="21"/>
    </w:rPr>
  </w:style>
  <w:style w:type="paragraph" w:styleId="Heading9">
    <w:name w:val="Heading 9"/>
    <w:basedOn w:val="Heading"/>
    <w:next w:val="TextBody"/>
    <w:qFormat/>
    <w:pPr>
      <w:numPr>
        <w:ilvl w:val="8"/>
        <w:numId w:val="1"/>
      </w:numPr>
      <w:outlineLvl w:val="8"/>
    </w:pPr>
    <w:rPr>
      <w:b/>
      <w:bCs/>
      <w:sz w:val="21"/>
      <w:szCs w:val="21"/>
    </w:rPr>
  </w:style>
  <w:style w:type="character" w:styleId="NumberingSymbols">
    <w:name w:val="Numbering Symbols"/>
    <w:qFormat/>
    <w:rPr/>
  </w:style>
  <w:style w:type="character" w:styleId="WW8Num3z0">
    <w:name w:val="WW8Num3z0"/>
    <w:qFormat/>
    <w:rPr>
      <w:rFonts w:ascii="Symbol" w:hAnsi="Symbol"/>
    </w:rPr>
  </w:style>
  <w:style w:type="character" w:styleId="FootnoteCharacters">
    <w:name w:val="Footnote Characters"/>
    <w:qFormat/>
    <w:rPr/>
  </w:style>
  <w:style w:type="character" w:styleId="FootnoteAnchor">
    <w:name w:val="Footnote Anchor"/>
    <w:rPr>
      <w:vertAlign w:val="superscript"/>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Arial" w:hAnsi="Arial" w:eastAsia="Arial Unicode MS"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ableContents">
    <w:name w:val="Table Contents"/>
    <w:basedOn w:val="Normal"/>
    <w:qFormat/>
    <w:pPr>
      <w:suppressLineNumbers/>
    </w:pPr>
    <w:rPr>
      <w:rFonts w:ascii="Arial" w:hAnsi="Arial"/>
      <w:sz w:val="20"/>
    </w:rPr>
  </w:style>
  <w:style w:type="paragraph" w:styleId="TableHeading">
    <w:name w:val="Table Heading"/>
    <w:basedOn w:val="TableContents"/>
    <w:qFormat/>
    <w:pPr>
      <w:suppressLineNumbers/>
      <w:jc w:val="center"/>
    </w:pPr>
    <w:rPr>
      <w:b/>
      <w:bCs/>
    </w:rPr>
  </w:style>
  <w:style w:type="paragraph" w:styleId="Heading10">
    <w:name w:val="Heading 10"/>
    <w:basedOn w:val="Heading"/>
    <w:next w:val="TextBody"/>
    <w:qFormat/>
    <w:pPr>
      <w:numPr>
        <w:ilvl w:val="8"/>
        <w:numId w:val="1"/>
      </w:numPr>
      <w:outlineLvl w:val="8"/>
    </w:pPr>
    <w:rPr>
      <w:b/>
      <w:bCs/>
      <w:sz w:val="21"/>
      <w:szCs w:val="21"/>
    </w:rPr>
  </w:style>
  <w:style w:type="paragraph" w:styleId="Footer">
    <w:name w:val="Footer"/>
    <w:basedOn w:val="Normal"/>
    <w:pPr>
      <w:suppressLineNumbers/>
      <w:tabs>
        <w:tab w:val="center" w:pos="4819" w:leader="none"/>
        <w:tab w:val="right" w:pos="9638" w:leader="none"/>
      </w:tabs>
    </w:pPr>
    <w:rPr/>
  </w:style>
  <w:style w:type="paragraph" w:styleId="Header">
    <w:name w:val="Header"/>
    <w:basedOn w:val="Normal"/>
    <w:pPr>
      <w:suppressLineNumbers/>
      <w:tabs>
        <w:tab w:val="center" w:pos="4819" w:leader="none"/>
        <w:tab w:val="right" w:pos="9638" w:leader="none"/>
      </w:tabs>
    </w:pPr>
    <w:rPr/>
  </w:style>
  <w:style w:type="paragraph" w:styleId="Footnote">
    <w:name w:val="Footnote Text"/>
    <w:basedOn w:val="Normal"/>
    <w:pPr>
      <w:suppressLineNumbers/>
      <w:ind w:left="283" w:right="0" w:hanging="283"/>
    </w:pPr>
    <w:rPr>
      <w:sz w:val="20"/>
      <w:szCs w:val="20"/>
    </w:rPr>
  </w:style>
  <w:style w:type="numbering" w:styleId="Numbering1">
    <w:name w:val="Numbering 1"/>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2025</TotalTime>
  <Application>LibreOffice/5.3.6.1$Linux_X86_64 LibreOffice_project/30$Build-1</Application>
  <Pages>2</Pages>
  <Words>773</Words>
  <CharactersWithSpaces>5428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2012-11-28T09:45:51Z</dcterms:created>
  <dc:creator>Livio Metton</dc:creator>
  <dc:description>Versione 1.0</dc:description>
  <dc:language>en-US</dc:language>
  <cp:lastModifiedBy/>
  <cp:lastPrinted>2013-07-09T17:03:26Z</cp:lastPrinted>
  <dcterms:modified xsi:type="dcterms:W3CDTF">2017-06-09T15:01:35Z</dcterms:modified>
  <cp:revision>316</cp:revision>
  <dc:subject/>
  <dc:title/>
</cp:coreProperties>
</file>