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notes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613" w:type="dxa"/>
        <w:jc w:val="left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</w:tblPr>
      <w:tblGrid>
        <w:gridCol w:w="4806"/>
        <w:gridCol w:w="4807"/>
      </w:tblGrid>
      <w:tr>
        <w:trPr>
          <w:trHeight w:val="255" w:hRule="atLeast"/>
        </w:trPr>
        <w:tc>
          <w:tcPr>
            <w:tcW w:w="4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REGIME DI AVVIO:</w:t>
            </w:r>
          </w:p>
          <w:p>
            <w:pPr>
              <w:pStyle w:val="Normal"/>
              <w:spacing w:before="0" w:after="0"/>
              <w:jc w:val="left"/>
              <w:rPr/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Segnalazione Certificata di Inizio Attività  ex art. </w:t>
            </w:r>
            <w:hyperlink r:id="rId2">
              <w:r>
                <w:rPr>
                  <w:rStyle w:val="InternetLink"/>
                  <w:rFonts w:cs="Arial" w:ascii="Arial" w:hAnsi="Arial"/>
                  <w:b/>
                  <w:bCs/>
                  <w:sz w:val="18"/>
                  <w:szCs w:val="18"/>
                </w:rPr>
                <w:t>24 della L.R. 12/02</w:t>
              </w:r>
            </w:hyperlink>
          </w:p>
        </w:tc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rFonts w:ascii="Arial" w:hAnsi="Arial"/>
                <w:b/>
                <w:b/>
                <w:bCs/>
                <w:color w:val="auto"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color w:val="auto"/>
                <w:sz w:val="12"/>
                <w:szCs w:val="12"/>
              </w:rPr>
              <w:t>Le informazioni e i dati corrispondono a quelli previsti nella modulistica unificata e standardizzata, approvata dalla Conferenza Unificata  in data 6 luglio 2017</w:t>
            </w:r>
          </w:p>
          <w:p>
            <w:pPr>
              <w:pStyle w:val="Normal"/>
              <w:jc w:val="left"/>
              <w:rPr>
                <w:rFonts w:ascii="Arial" w:hAnsi="Arial"/>
                <w:b/>
                <w:b/>
                <w:bCs/>
                <w:color w:val="auto"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color w:val="auto"/>
                <w:sz w:val="12"/>
                <w:szCs w:val="12"/>
              </w:rPr>
              <w:t>Le sezioni e le informazioni variate sulla base delle diverse disposizioni regionali sono contrassegnate con un asterisco (*)</w:t>
            </w:r>
          </w:p>
        </w:tc>
      </w:tr>
      <w:tr>
        <w:trPr>
          <w:trHeight w:val="255" w:hRule="atLeast"/>
        </w:trPr>
        <w:tc>
          <w:tcPr>
            <w:tcW w:w="48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  <w:vAlign w:val="bottom"/>
          </w:tcPr>
          <w:p>
            <w:pPr>
              <w:pStyle w:val="Normal"/>
              <w:jc w:val="right"/>
              <w:rPr>
                <w:rFonts w:ascii="Arial" w:hAnsi="Arial"/>
                <w:b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color w:val="0000FF"/>
                <w:sz w:val="12"/>
                <w:szCs w:val="12"/>
              </w:rPr>
              <w:t xml:space="preserve">Questo modulo </w:t>
            </w:r>
            <w:r>
              <w:rPr>
                <w:rFonts w:ascii="Arial" w:hAnsi="Arial"/>
                <w:b/>
                <w:bCs/>
                <w:color w:val="0000FF"/>
                <w:sz w:val="12"/>
                <w:szCs w:val="12"/>
                <w:u w:val="single"/>
              </w:rPr>
              <w:t>DEVE ESSERE compilato</w:t>
            </w:r>
            <w:r>
              <w:rPr>
                <w:rFonts w:ascii="Arial" w:hAnsi="Arial"/>
                <w:b/>
                <w:bCs/>
                <w:color w:val="0000FF"/>
                <w:sz w:val="12"/>
                <w:szCs w:val="12"/>
              </w:rPr>
              <w:t xml:space="preserve"> con OpenOffice o Libre Office</w:t>
            </w:r>
          </w:p>
        </w:tc>
      </w:tr>
      <w:tr>
        <w:trPr>
          <w:trHeight w:val="510" w:hRule="atLeast"/>
        </w:trPr>
        <w:tc>
          <w:tcPr>
            <w:tcW w:w="96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Heading1"/>
              <w:numPr>
                <w:ilvl w:val="0"/>
                <w:numId w:val="0"/>
              </w:numPr>
              <w:spacing w:before="57" w:after="0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 Dati generali dell'intervento</w:t>
            </w:r>
          </w:p>
        </w:tc>
      </w:tr>
      <w:tr>
        <w:trPr>
          <w:trHeight w:val="454" w:hRule="exact"/>
        </w:trPr>
        <w:tc>
          <w:tcPr>
            <w:tcW w:w="96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Heading2"/>
              <w:numPr>
                <w:ilvl w:val="1"/>
                <w:numId w:val="1"/>
              </w:numPr>
              <w:spacing w:before="62" w:after="62"/>
              <w:rPr/>
            </w:pPr>
            <w:r>
              <w:rPr>
                <w:i w:val="false"/>
                <w:iCs w:val="false"/>
                <w:color w:val="0000FF"/>
                <w:sz w:val="20"/>
                <w:szCs w:val="20"/>
              </w:rPr>
              <w:t xml:space="preserve">1.1 </w:t>
            </w:r>
            <w:r>
              <w:rPr>
                <w:rFonts w:cs="Arial"/>
                <w:b/>
                <w:i w:val="false"/>
                <w:iCs w:val="false"/>
                <w:color w:val="0000FF"/>
                <w:sz w:val="20"/>
                <w:szCs w:val="20"/>
              </w:rPr>
              <w:t xml:space="preserve">– </w:t>
            </w:r>
            <w:r>
              <w:rPr>
                <w:i w:val="false"/>
                <w:iCs w:val="false"/>
                <w:color w:val="0000FF"/>
                <w:sz w:val="20"/>
                <w:szCs w:val="20"/>
              </w:rPr>
              <w:t xml:space="preserve">Numero della domanda </w:t>
            </w:r>
            <w:r>
              <w:rPr>
                <w:i w:val="false"/>
                <w:iCs w:val="false"/>
                <w:color w:val="0000FF"/>
                <w:sz w:val="20"/>
                <w:szCs w:val="20"/>
              </w:rPr>
            </w:r>
          </w:p>
        </w:tc>
      </w:tr>
      <w:tr>
        <w:trPr>
          <w:trHeight w:val="515" w:hRule="exact"/>
        </w:trPr>
        <w:tc>
          <w:tcPr>
            <w:tcW w:w="96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Heading2"/>
              <w:numPr>
                <w:ilvl w:val="1"/>
                <w:numId w:val="1"/>
              </w:numPr>
              <w:spacing w:before="57" w:after="57"/>
              <w:textAlignment w:val="center"/>
              <w:rPr>
                <w:color w:val="0000FF"/>
                <w:sz w:val="20"/>
                <w:szCs w:val="20"/>
              </w:rPr>
            </w:pPr>
            <w:r>
              <w:rPr>
                <w:i w:val="false"/>
                <w:iCs w:val="false"/>
                <w:color w:val="0000FF"/>
                <w:sz w:val="20"/>
                <w:szCs w:val="20"/>
              </w:rPr>
              <w:t xml:space="preserve">1.2 </w:t>
            </w:r>
            <w:r>
              <w:rPr>
                <w:rFonts w:cs="Arial"/>
                <w:b/>
                <w:i w:val="false"/>
                <w:iCs w:val="false"/>
                <w:color w:val="0000FF"/>
                <w:sz w:val="20"/>
                <w:szCs w:val="20"/>
              </w:rPr>
              <w:t xml:space="preserve">– </w:t>
            </w:r>
            <w:r>
              <w:rPr>
                <w:i w:val="false"/>
                <w:iCs w:val="false"/>
                <w:color w:val="0000FF"/>
                <w:sz w:val="20"/>
                <w:szCs w:val="20"/>
              </w:rPr>
              <w:t>Titolare dell'esercizio</w:t>
            </w:r>
            <w:r>
              <w:rPr>
                <w:color w:val="0000FF"/>
                <w:sz w:val="20"/>
                <w:szCs w:val="20"/>
              </w:rPr>
              <w:t xml:space="preserve"> </w:t>
            </w:r>
            <w:r>
              <w:rPr>
                <w:color w:val="0000FF"/>
                <w:sz w:val="20"/>
                <w:szCs w:val="20"/>
              </w:rPr>
            </w:r>
            <w:r>
              <w:rPr>
                <w:color w:val="0000FF"/>
                <w:sz w:val="20"/>
                <w:szCs w:val="20"/>
              </w:rPr>
              <w:t xml:space="preserve"> </w:t>
            </w:r>
            <w:r>
              <w:rPr>
                <w:color w:val="0000FF"/>
                <w:sz w:val="20"/>
                <w:szCs w:val="20"/>
              </w:rPr>
            </w:r>
          </w:p>
        </w:tc>
      </w:tr>
      <w:tr>
        <w:trPr>
          <w:trHeight w:val="415" w:hRule="exact"/>
        </w:trPr>
        <w:tc>
          <w:tcPr>
            <w:tcW w:w="961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Heading2"/>
              <w:numPr>
                <w:ilvl w:val="1"/>
                <w:numId w:val="1"/>
              </w:numPr>
              <w:spacing w:before="57" w:after="0"/>
              <w:textAlignment w:val="center"/>
              <w:rPr>
                <w:i w:val="false"/>
                <w:i w:val="false"/>
                <w:iCs w:val="false"/>
                <w:color w:val="0000FF"/>
                <w:sz w:val="20"/>
                <w:szCs w:val="20"/>
              </w:rPr>
            </w:pPr>
            <w:r>
              <w:rPr>
                <w:i w:val="false"/>
                <w:iCs w:val="false"/>
                <w:color w:val="0000FF"/>
                <w:sz w:val="20"/>
                <w:szCs w:val="20"/>
              </w:rPr>
              <w:t xml:space="preserve">1.3 </w:t>
            </w:r>
            <w:r>
              <w:rPr>
                <w:rFonts w:cs="Arial"/>
                <w:b/>
                <w:i w:val="false"/>
                <w:iCs w:val="false"/>
                <w:color w:val="0000FF"/>
                <w:sz w:val="20"/>
                <w:szCs w:val="20"/>
              </w:rPr>
              <w:t xml:space="preserve">– </w:t>
            </w:r>
            <w:r>
              <w:rPr>
                <w:i w:val="false"/>
                <w:iCs w:val="false"/>
                <w:color w:val="0000FF"/>
                <w:sz w:val="20"/>
                <w:szCs w:val="20"/>
              </w:rPr>
              <w:t>Indirizzo dell'esercizio</w:t>
            </w:r>
          </w:p>
        </w:tc>
      </w:tr>
      <w:tr>
        <w:trPr>
          <w:trHeight w:val="751" w:hRule="exact"/>
        </w:trPr>
        <w:tc>
          <w:tcPr>
            <w:tcW w:w="96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spacing w:before="0" w:after="0"/>
              <w:ind w:left="397" w:right="0" w:hanging="0"/>
              <w:textAlignment w:val="bottom"/>
              <w:rPr/>
            </w:pPr>
            <w:r>
              <w:rPr>
                <w:i w:val="false"/>
                <w:iCs w:val="false"/>
                <w:color w:val="0000FF"/>
                <w:sz w:val="20"/>
                <w:szCs w:val="20"/>
              </w:rPr>
            </w:r>
            <w:r>
              <w:rPr>
                <w:i w:val="false"/>
                <w:iCs w:val="false"/>
                <w:color w:val="0000FF"/>
                <w:sz w:val="20"/>
                <w:szCs w:val="20"/>
              </w:rPr>
              <w:t xml:space="preserve"> </w:t>
            </w:r>
            <w:r>
              <w:rPr>
                <w:i w:val="false"/>
                <w:iCs w:val="false"/>
                <w:color w:val="0000FF"/>
                <w:sz w:val="20"/>
                <w:szCs w:val="20"/>
              </w:rPr>
            </w:r>
            <w:r>
              <w:rPr>
                <w:i w:val="false"/>
                <w:iCs w:val="false"/>
                <w:color w:val="0000FF"/>
                <w:sz w:val="20"/>
                <w:szCs w:val="20"/>
              </w:rPr>
              <w:t xml:space="preserve"> </w:t>
            </w:r>
            <w:r>
              <w:rPr>
                <w:i w:val="false"/>
                <w:iCs w:val="false"/>
                <w:color w:val="0000FF"/>
                <w:sz w:val="20"/>
                <w:szCs w:val="20"/>
              </w:rPr>
            </w:r>
            <w:r>
              <w:rPr>
                <w:i w:val="false"/>
                <w:iCs w:val="false"/>
                <w:color w:val="0000FF"/>
                <w:sz w:val="20"/>
                <w:szCs w:val="20"/>
              </w:rPr>
              <w:t xml:space="preserve"> </w:t>
            </w:r>
            <w:r>
              <w:rPr>
                <w:b/>
                <w:bCs/>
                <w:i w:val="false"/>
                <w:iCs w:val="false"/>
                <w:color w:val="000000"/>
                <w:sz w:val="28"/>
                <w:szCs w:val="28"/>
              </w:rPr>
              <w:t>/</w:t>
            </w:r>
            <w:r>
              <w:rPr>
                <w:i w:val="false"/>
                <w:iCs w:val="false"/>
                <w:color w:val="0000FF"/>
                <w:sz w:val="20"/>
                <w:szCs w:val="20"/>
              </w:rPr>
              <w:t xml:space="preserve"> </w:t>
            </w:r>
            <w:r>
              <w:rPr>
                <w:i w:val="false"/>
                <w:iCs w:val="false"/>
                <w:color w:val="0000FF"/>
                <w:sz w:val="20"/>
                <w:szCs w:val="20"/>
              </w:rPr>
            </w:r>
          </w:p>
          <w:p>
            <w:pPr>
              <w:pStyle w:val="Normal"/>
              <w:spacing w:before="0" w:after="0"/>
              <w:ind w:left="397" w:right="0" w:hanging="0"/>
              <w:textAlignment w:val="bottom"/>
              <w:rPr/>
            </w:pPr>
            <w:r>
              <w:rPr>
                <w:i w:val="false"/>
                <w:iCs w:val="false"/>
                <w:color w:val="0000FF"/>
                <w:sz w:val="20"/>
                <w:szCs w:val="20"/>
              </w:rPr>
            </w:r>
            <w:r>
              <w:rPr>
                <w:i w:val="false"/>
                <w:iCs w:val="false"/>
                <w:color w:val="0000FF"/>
                <w:sz w:val="20"/>
                <w:szCs w:val="20"/>
              </w:rPr>
              <w:t xml:space="preserve"> </w:t>
            </w:r>
            <w:r>
              <w:rPr>
                <w:i w:val="false"/>
                <w:iCs w:val="false"/>
                <w:color w:val="0000FF"/>
                <w:sz w:val="20"/>
                <w:szCs w:val="20"/>
              </w:rPr>
              <mc:AlternateContent>
                <mc:Choice Requires="wpg">
                  <w:drawing>
                    <wp:inline distT="0" distB="0" distL="0" distR="0">
                      <wp:extent cx="1440180" cy="162560"/>
                      <wp:effectExtent l="0" t="0" r="0" b="0"/>
                      <wp:docPr id="1" name="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39640" cy="162000"/>
                              </a:xfrm>
                            </wpg:grpSpPr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style="position:absolute;margin-left:0pt;margin-top:-6.4pt;width:113.35pt;height:12.75pt" coordorigin="0,-128" coordsize="2267,255"/>
                  </w:pict>
                </mc:Fallback>
              </mc:AlternateContent>
            </w:r>
            <w:r>
              <w:rPr>
                <w:i w:val="false"/>
                <w:iCs w:val="false"/>
                <w:color w:val="0000FF"/>
                <w:sz w:val="20"/>
                <w:szCs w:val="20"/>
              </w:rPr>
              <w:t xml:space="preserve"> </w:t>
            </w:r>
            <w:r>
              <w:rPr>
                <w:i w:val="false"/>
                <w:iCs w:val="false"/>
                <w:color w:val="0000FF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9600" w:type="dxa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2512"/>
        <w:gridCol w:w="7088"/>
      </w:tblGrid>
      <w:tr>
        <w:trPr>
          <w:trHeight w:val="454" w:hRule="atLeast"/>
        </w:trPr>
        <w:tc>
          <w:tcPr>
            <w:tcW w:w="9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Heading1"/>
              <w:keepNext w:val="true"/>
              <w:numPr>
                <w:ilvl w:val="0"/>
                <w:numId w:val="0"/>
              </w:numPr>
              <w:spacing w:before="57" w:after="0"/>
              <w:rPr>
                <w:rFonts w:ascii="Arial" w:hAnsi="Arial" w:eastAsia="Arial Unicode MS" w:cs="Tahoma"/>
                <w:sz w:val="28"/>
                <w:szCs w:val="28"/>
              </w:rPr>
            </w:pPr>
            <w:r>
              <w:rPr>
                <w:rFonts w:eastAsia="Arial Unicode MS" w:cs="Tahoma"/>
                <w:sz w:val="28"/>
                <w:szCs w:val="28"/>
              </w:rPr>
              <w:t>2. Specifiche relative all’attività</w:t>
            </w:r>
          </w:p>
        </w:tc>
      </w:tr>
      <w:tr>
        <w:trPr>
          <w:trHeight w:val="148" w:hRule="atLeast"/>
        </w:trPr>
        <w:tc>
          <w:tcPr>
            <w:tcW w:w="9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spacing w:before="57" w:after="57"/>
              <w:rPr>
                <w:rFonts w:ascii="Arial" w:hAnsi="Arial" w:cs="Arial"/>
                <w:b/>
                <w:b/>
                <w:color w:val="0000FF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FF"/>
                <w:sz w:val="20"/>
                <w:szCs w:val="20"/>
              </w:rPr>
              <w:t xml:space="preserve">2.1 – Tipologia dell’esercizio </w:t>
            </w:r>
          </w:p>
        </w:tc>
      </w:tr>
      <w:tr>
        <w:trPr>
          <w:trHeight w:val="148" w:hRule="atLeast"/>
        </w:trPr>
        <w:tc>
          <w:tcPr>
            <w:tcW w:w="9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spacing w:before="57" w:after="57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  <w:r>
              <w:rPr>
                <w:rFonts w:cs="Arial" w:ascii="Arial" w:hAnsi="Arial"/>
                <w:sz w:val="16"/>
                <w:szCs w:val="16"/>
              </w:rPr>
              <w:t xml:space="preserve"> </w:t>
            </w:r>
            <w:r>
              <w:rPr>
                <w:rFonts w:cs="Arial" w:ascii="Arial" w:hAnsi="Arial"/>
                <w:sz w:val="16"/>
                <w:szCs w:val="16"/>
              </w:rPr>
              <w:t>Tintolavanderia</w:t>
            </w:r>
            <w:r>
              <w:rPr>
                <w:rStyle w:val="FootnoteAnchor"/>
                <w:rFonts w:cs="Arial" w:ascii="Arial" w:hAnsi="Arial"/>
                <w:sz w:val="16"/>
                <w:szCs w:val="16"/>
              </w:rPr>
              <w:footnoteReference w:id="2"/>
            </w:r>
          </w:p>
          <w:p>
            <w:pPr>
              <w:pStyle w:val="Normal"/>
              <w:snapToGrid w:val="false"/>
              <w:spacing w:before="57" w:after="57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  <w:r>
              <w:rPr>
                <w:rFonts w:cs="Arial" w:ascii="Arial" w:hAnsi="Arial"/>
                <w:sz w:val="16"/>
                <w:szCs w:val="16"/>
              </w:rPr>
              <w:t xml:space="preserve"> </w:t>
            </w:r>
            <w:r>
              <w:rPr>
                <w:rFonts w:cs="Arial" w:ascii="Arial" w:hAnsi="Arial"/>
                <w:sz w:val="16"/>
                <w:szCs w:val="16"/>
              </w:rPr>
              <w:t>Lavanderia self-service a gettone</w:t>
            </w:r>
            <w:r>
              <w:rPr>
                <w:rStyle w:val="FootnoteAnchor"/>
                <w:rFonts w:cs="Arial" w:ascii="Arial" w:hAnsi="Arial"/>
                <w:sz w:val="16"/>
                <w:szCs w:val="16"/>
              </w:rPr>
              <w:footnoteReference w:id="3"/>
            </w:r>
          </w:p>
        </w:tc>
      </w:tr>
      <w:tr>
        <w:trPr>
          <w:trHeight w:val="148" w:hRule="atLeast"/>
        </w:trPr>
        <w:tc>
          <w:tcPr>
            <w:tcW w:w="96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Heading2"/>
              <w:keepNext w:val="true"/>
              <w:numPr>
                <w:ilvl w:val="0"/>
                <w:numId w:val="0"/>
              </w:numPr>
              <w:snapToGrid w:val="false"/>
              <w:spacing w:lineRule="auto" w:line="240" w:before="57" w:after="57"/>
              <w:ind w:left="0" w:right="0" w:hanging="0"/>
              <w:rPr>
                <w:rFonts w:ascii="Arial" w:hAnsi="Arial" w:eastAsia="Arial Unicode MS" w:cs="Tahoma"/>
                <w:i w:val="false"/>
                <w:i w:val="false"/>
                <w:iCs w:val="false"/>
                <w:color w:val="0000FF"/>
                <w:sz w:val="20"/>
                <w:szCs w:val="20"/>
              </w:rPr>
            </w:pPr>
            <w:r>
              <w:rPr>
                <w:rFonts w:eastAsia="Arial Unicode MS" w:cs="Tahoma"/>
                <w:i w:val="false"/>
                <w:iCs w:val="false"/>
                <w:color w:val="0000FF"/>
                <w:sz w:val="20"/>
                <w:szCs w:val="20"/>
              </w:rPr>
              <w:t>2.2 Attività collocata in centro commerciale o complesso commerciale</w:t>
            </w:r>
          </w:p>
        </w:tc>
      </w:tr>
      <w:tr>
        <w:trPr>
          <w:trHeight w:val="148" w:hRule="atLeast"/>
        </w:trPr>
        <w:tc>
          <w:tcPr>
            <w:tcW w:w="96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spacing w:before="57" w:after="57"/>
              <w:rPr/>
            </w:pPr>
            <w:r>
              <w:rPr>
                <w:rFonts w:eastAsia="Arial Unicode MS" w:cs="Tahoma" w:ascii="Arial" w:hAnsi="Arial"/>
                <w:bCs w:val="false"/>
                <w:i w:val="false"/>
                <w:iCs w:val="false"/>
                <w:color w:val="0000FF"/>
                <w:sz w:val="16"/>
                <w:szCs w:val="16"/>
              </w:rPr>
            </w:r>
            <w:r>
              <w:rPr>
                <w:rFonts w:eastAsia="Arial Unicode MS" w:cs="Tahoma" w:ascii="Arial" w:hAnsi="Arial"/>
                <w:bCs w:val="false"/>
                <w:i w:val="false"/>
                <w:iCs w:val="false"/>
                <w:color w:val="0000FF"/>
                <w:sz w:val="16"/>
                <w:szCs w:val="16"/>
              </w:rPr>
              <w:t xml:space="preserve"> </w:t>
            </w:r>
            <w:r>
              <w:rPr>
                <w:rFonts w:eastAsia="Arial Unicode MS" w:cs="Arial" w:ascii="Arial" w:hAnsi="Arial"/>
                <w:bCs w:val="false"/>
                <w:i w:val="false"/>
                <w:iCs w:val="false"/>
                <w:color w:val="auto"/>
                <w:sz w:val="16"/>
                <w:szCs w:val="16"/>
              </w:rPr>
              <w:t xml:space="preserve">Si denominazione </w:t>
            </w:r>
            <w:r>
              <w:rPr>
                <w:rFonts w:eastAsia="Arial Unicode MS" w:cs="Arial" w:ascii="Arial" w:hAnsi="Arial"/>
                <w:bCs w:val="false"/>
                <w:i w:val="false"/>
                <w:iCs w:val="false"/>
                <w:color w:val="auto"/>
                <w:sz w:val="16"/>
                <w:szCs w:val="16"/>
              </w:rPr>
            </w:r>
          </w:p>
          <w:p>
            <w:pPr>
              <w:pStyle w:val="Normal"/>
              <w:snapToGrid w:val="false"/>
              <w:spacing w:before="57" w:after="57"/>
              <w:rPr/>
            </w:pPr>
            <w:r>
              <w:rPr>
                <w:rFonts w:eastAsia="Arial Unicode MS" w:cs="Arial" w:ascii="Arial" w:hAnsi="Arial"/>
                <w:bCs w:val="false"/>
                <w:i w:val="false"/>
                <w:iCs w:val="false"/>
                <w:color w:val="auto"/>
                <w:sz w:val="16"/>
                <w:szCs w:val="16"/>
              </w:rPr>
            </w:r>
            <w:r>
              <w:rPr>
                <w:rFonts w:eastAsia="Arial Unicode MS" w:cs="Arial" w:ascii="Arial" w:hAnsi="Arial"/>
                <w:bCs w:val="false"/>
                <w:i w:val="false"/>
                <w:iCs w:val="false"/>
                <w:color w:val="auto"/>
                <w:sz w:val="16"/>
                <w:szCs w:val="16"/>
              </w:rPr>
              <w:t xml:space="preserve"> </w:t>
            </w:r>
            <w:r>
              <w:rPr>
                <w:rFonts w:eastAsia="Arial Unicode MS" w:cs="Arial" w:ascii="Arial" w:hAnsi="Arial"/>
                <w:bCs w:val="false"/>
                <w:i w:val="false"/>
                <w:iCs w:val="false"/>
                <w:color w:val="auto"/>
                <w:sz w:val="16"/>
                <w:szCs w:val="16"/>
              </w:rPr>
              <w:t>No</w:t>
            </w:r>
          </w:p>
        </w:tc>
      </w:tr>
      <w:tr>
        <w:trPr>
          <w:trHeight w:val="218" w:hRule="atLeast"/>
        </w:trPr>
        <w:tc>
          <w:tcPr>
            <w:tcW w:w="9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snapToGrid w:val="false"/>
              <w:spacing w:before="57" w:after="57"/>
              <w:jc w:val="both"/>
              <w:rPr>
                <w:rFonts w:ascii="Arial" w:hAnsi="Arial" w:cs="Arial"/>
                <w:b/>
                <w:b/>
                <w:color w:val="0000FF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FF"/>
                <w:sz w:val="20"/>
                <w:szCs w:val="20"/>
              </w:rPr>
              <w:t xml:space="preserve">2.3 – Superficie di esercizio dell’attività </w:t>
            </w:r>
          </w:p>
        </w:tc>
      </w:tr>
      <w:tr>
        <w:trPr>
          <w:trHeight w:val="218" w:hRule="atLeast"/>
        </w:trPr>
        <w:tc>
          <w:tcPr>
            <w:tcW w:w="96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snapToGrid w:val="false"/>
              <w:spacing w:before="57" w:after="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Superficie destinata all’attività di tintolavanderia/lavanderia a gettoni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 xml:space="preserve">m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  <w:vertAlign w:val="superscript"/>
              </w:rPr>
              <w:t xml:space="preserve">2      </w:t>
            </w:r>
            <w:r>
              <w:rPr>
                <w:rFonts w:cs="Arial" w:ascii="Arial" w:hAnsi="Arial"/>
                <w:sz w:val="16"/>
                <w:szCs w:val="16"/>
              </w:rPr>
              <w:t xml:space="preserve"> </w:t>
            </w: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snapToGrid w:val="false"/>
              <w:spacing w:before="0" w:after="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Superficie adibita ad altri usi                                                               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 xml:space="preserve">m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  <w:vertAlign w:val="superscript"/>
              </w:rPr>
              <w:t xml:space="preserve">2      </w:t>
            </w:r>
            <w:r>
              <w:rPr>
                <w:rFonts w:cs="Arial" w:ascii="Arial" w:hAnsi="Arial"/>
                <w:sz w:val="16"/>
                <w:szCs w:val="16"/>
              </w:rPr>
              <w:t xml:space="preserve"> </w:t>
            </w: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snapToGrid w:val="false"/>
              <w:spacing w:before="0" w:after="57"/>
              <w:rPr/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Superficie complessiva   </w:t>
            </w:r>
            <w:r>
              <w:rPr>
                <w:rFonts w:cs="Arial" w:ascii="Arial" w:hAnsi="Arial"/>
                <w:sz w:val="16"/>
                <w:szCs w:val="16"/>
              </w:rPr>
              <w:t xml:space="preserve">         </w:t>
            </w:r>
            <w:r>
              <w:rPr>
                <w:rFonts w:ascii="Arial" w:hAnsi="Arial"/>
                <w:b w:val="false"/>
                <w:bCs w:val="false"/>
                <w:sz w:val="16"/>
                <w:szCs w:val="16"/>
                <w:vertAlign w:val="superscript"/>
              </w:rPr>
              <w:t xml:space="preserve">                                                                                                    </w:t>
            </w:r>
            <w:r>
              <w:rPr>
                <w:rFonts w:cs="Arial" w:ascii="Arial" w:hAnsi="Arial"/>
                <w:b w:val="false"/>
                <w:bCs w:val="false"/>
                <w:position w:val="0"/>
                <w:sz w:val="16"/>
                <w:sz w:val="16"/>
                <w:szCs w:val="16"/>
                <w:vertAlign w:val="baseline"/>
              </w:rPr>
              <w:t>m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  <w:vertAlign w:val="superscript"/>
              </w:rPr>
              <w:t xml:space="preserve"> 2   </w:t>
            </w:r>
            <w:r>
              <w:rPr>
                <w:rFonts w:ascii="Arial" w:hAnsi="Arial"/>
                <w:b w:val="false"/>
                <w:bCs w:val="false"/>
                <w:sz w:val="16"/>
                <w:szCs w:val="16"/>
                <w:vertAlign w:val="superscript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  <w:vertAlign w:val="superscript"/>
              </w:rPr>
              <w:t xml:space="preserve">  </w:t>
            </w:r>
            <w:r>
              <w:rPr>
                <w:rFonts w:ascii="Arial" w:hAnsi="Arial"/>
                <w:b w:val="false"/>
                <w:bCs w:val="false"/>
                <w:sz w:val="16"/>
                <w:szCs w:val="16"/>
                <w:vertAlign w:val="superscript"/>
              </w:rPr>
              <w:t xml:space="preserve">  </w:t>
            </w:r>
            <w:r>
              <w:rPr>
                <w:rFonts w:ascii="Arial" w:hAnsi="Arial"/>
                <w:b w:val="false"/>
                <w:bCs w:val="false"/>
                <w:sz w:val="16"/>
                <w:szCs w:val="16"/>
              </w:rPr>
            </w:r>
          </w:p>
          <w:p>
            <w:pPr>
              <w:pStyle w:val="Normal"/>
              <w:snapToGrid w:val="false"/>
              <w:spacing w:lineRule="auto" w:line="240" w:before="0" w:after="57"/>
              <w:ind w:left="57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i/>
                <w:i/>
                <w:iCs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bCs w:val="false"/>
                <w:i/>
                <w:iCs/>
                <w:sz w:val="12"/>
                <w:szCs w:val="12"/>
              </w:rPr>
              <w:t>(la superficie da indicare deve essere uguale alla somma delle superfici sopra riportate)</w:t>
            </w:r>
          </w:p>
        </w:tc>
      </w:tr>
      <w:tr>
        <w:trPr>
          <w:trHeight w:val="218" w:hRule="atLeast"/>
        </w:trPr>
        <w:tc>
          <w:tcPr>
            <w:tcW w:w="96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Heading2"/>
              <w:keepNext w:val="true"/>
              <w:numPr>
                <w:ilvl w:val="0"/>
                <w:numId w:val="0"/>
              </w:numPr>
              <w:snapToGrid w:val="false"/>
              <w:spacing w:before="57" w:after="57"/>
              <w:ind w:left="0" w:right="0" w:hanging="0"/>
              <w:rPr>
                <w:rFonts w:ascii="Arial" w:hAnsi="Arial" w:eastAsia="Arial Unicode MS" w:cs="Tahoma"/>
                <w:i w:val="false"/>
                <w:i w:val="false"/>
                <w:iCs w:val="false"/>
                <w:color w:val="0000FF"/>
                <w:sz w:val="20"/>
                <w:szCs w:val="20"/>
              </w:rPr>
            </w:pPr>
            <w:r>
              <w:rPr>
                <w:rFonts w:eastAsia="Arial Unicode MS" w:cs="Tahoma"/>
                <w:i w:val="false"/>
                <w:iCs w:val="false"/>
                <w:color w:val="0000FF"/>
                <w:sz w:val="20"/>
                <w:szCs w:val="20"/>
              </w:rPr>
              <w:t>2.4 Esercizio a carattere</w:t>
            </w:r>
          </w:p>
        </w:tc>
      </w:tr>
      <w:tr>
        <w:trPr>
          <w:trHeight w:val="397" w:hRule="atLeast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spacing w:before="57" w:after="57"/>
              <w:rPr/>
            </w:pPr>
            <w:r>
              <w:rPr>
                <w:rFonts w:cs="Arial" w:ascii="Arial" w:hAnsi="Arial"/>
                <w:sz w:val="18"/>
                <w:szCs w:val="18"/>
              </w:rPr>
            </w:r>
            <w:r>
              <w:rPr>
                <w:rFonts w:cs="Arial" w:ascii="Arial" w:hAnsi="Arial"/>
                <w:sz w:val="20"/>
                <w:szCs w:val="20"/>
              </w:rPr>
              <w:t xml:space="preserve">  </w:t>
            </w:r>
            <w:r>
              <w:rPr>
                <w:rFonts w:cs="Arial" w:ascii="Arial" w:hAnsi="Arial"/>
                <w:sz w:val="16"/>
                <w:szCs w:val="16"/>
              </w:rPr>
              <w:t>Permanente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spacing w:before="57" w:after="57"/>
              <w:rPr/>
            </w:pPr>
            <w:r>
              <w:rPr>
                <w:rFonts w:cs="Arial" w:ascii="Arial" w:hAnsi="Arial"/>
                <w:sz w:val="18"/>
                <w:szCs w:val="18"/>
              </w:rPr>
            </w:r>
            <w:r>
              <w:rPr>
                <w:rFonts w:cs="Arial" w:ascii="Arial" w:hAnsi="Arial"/>
                <w:sz w:val="20"/>
                <w:szCs w:val="20"/>
              </w:rPr>
              <w:t xml:space="preserve">  </w:t>
            </w:r>
            <w:r>
              <w:rPr>
                <w:rFonts w:cs="Arial" w:ascii="Arial" w:hAnsi="Arial"/>
                <w:sz w:val="16"/>
                <w:szCs w:val="16"/>
              </w:rPr>
              <w:t xml:space="preserve">Stagionale dal </w:t>
            </w:r>
            <w:r>
              <w:rPr>
                <w:rFonts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</w:r>
            <w:sdt>
              <w:sdtPr>
                <w:date>
                  <w:dateFormat w:val=""/>
                  <w:lid w:val="en-US"/>
                  <w:storeMappedDataAs w:val="dateTime"/>
                  <w:calendar w:val="gregorian"/>
                </w:date>
              </w:sdtPr>
              <w:sdtContent>
                <w:r/>
              </w:sdtContent>
            </w:sdt>
            <w:r>
              <w:rPr>
                <w:rFonts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16"/>
                <w:szCs w:val="16"/>
              </w:rPr>
              <w:t xml:space="preserve">al </w:t>
            </w:r>
            <w:r>
              <w:rPr>
                <w:rFonts w:cs="Arial" w:ascii="Arial" w:hAnsi="Arial"/>
                <w:sz w:val="16"/>
                <w:szCs w:val="16"/>
              </w:rPr>
            </w:r>
            <w:sdt>
              <w:sdtPr>
                <w:date>
                  <w:dateFormat w:val=""/>
                  <w:lid w:val="en-US"/>
                  <w:storeMappedDataAs w:val="dateTime"/>
                  <w:calendar w:val="gregorian"/>
                </w:date>
              </w:sdtPr>
              <w:sdtContent>
                <w:r/>
              </w:sdtContent>
            </w:sdt>
            <w:r>
              <w:rPr>
                <w:rFonts w:cs="Arial" w:ascii="Arial" w:hAnsi="Arial"/>
                <w:sz w:val="20"/>
                <w:szCs w:val="20"/>
              </w:rPr>
              <w:t xml:space="preserve">  </w:t>
            </w:r>
            <w:r>
              <w:rPr>
                <w:rFonts w:eastAsia="Arial Unicode MS" w:cs="Arial" w:ascii="Arial" w:hAnsi="Arial"/>
                <w:i/>
                <w:iCs/>
                <w:sz w:val="12"/>
                <w:szCs w:val="12"/>
              </w:rPr>
              <w:t>(gg/mm)</w:t>
            </w:r>
          </w:p>
        </w:tc>
      </w:tr>
    </w:tbl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9645" w:type="dxa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4798"/>
        <w:gridCol w:w="23"/>
        <w:gridCol w:w="4824"/>
      </w:tblGrid>
      <w:tr>
        <w:trPr>
          <w:trHeight w:val="284" w:hRule="atLeast"/>
        </w:trPr>
        <w:tc>
          <w:tcPr>
            <w:tcW w:w="9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keepNext w:val="true"/>
              <w:snapToGrid w:val="false"/>
              <w:spacing w:before="57" w:after="57"/>
              <w:rPr>
                <w:rFonts w:ascii="Arial" w:hAnsi="Arial" w:eastAsia="Arial Unicode MS" w:cs="Tahoma"/>
                <w:b/>
                <w:b/>
                <w:color w:val="0000FF"/>
                <w:sz w:val="20"/>
                <w:szCs w:val="20"/>
              </w:rPr>
            </w:pPr>
            <w:r>
              <w:rPr>
                <w:rFonts w:eastAsia="Arial Unicode MS" w:cs="Tahoma" w:ascii="Arial" w:hAnsi="Arial"/>
                <w:b/>
                <w:color w:val="0000FF"/>
                <w:sz w:val="20"/>
                <w:szCs w:val="20"/>
              </w:rPr>
              <w:t>2.5 – Dichiarazioni generali ai sensi e per gli effetti degli art. 46 e 47 del D.P.R. 445/2000</w:t>
            </w:r>
          </w:p>
        </w:tc>
      </w:tr>
      <w:tr>
        <w:trPr>
          <w:trHeight w:val="397" w:hRule="atLeast"/>
        </w:trPr>
        <w:tc>
          <w:tcPr>
            <w:tcW w:w="9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57" w:after="57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IL SOTTOSCRITTO/LA SOTTOSCRITTA</w:t>
            </w:r>
          </w:p>
        </w:tc>
      </w:tr>
      <w:tr>
        <w:trPr>
          <w:trHeight w:val="397" w:hRule="atLeast"/>
        </w:trPr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Cognome </w:t>
            </w:r>
            <w:r>
              <w:rPr>
                <w:rFonts w:cs="Arial" w:ascii="Arial" w:hAnsi="Arial"/>
                <w:sz w:val="16"/>
                <w:szCs w:val="16"/>
              </w:rPr>
            </w:r>
            <w:r>
              <w:rPr>
                <w:rFonts w:cs="Arial"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4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Fonts w:cs="Arial" w:ascii="Arial" w:hAnsi="Arial"/>
                <w:sz w:val="16"/>
                <w:szCs w:val="16"/>
              </w:rPr>
              <w:t xml:space="preserve">Nome </w:t>
            </w:r>
            <w:r>
              <w:rPr>
                <w:rFonts w:cs="Arial" w:ascii="Arial" w:hAnsi="Arial"/>
                <w:sz w:val="16"/>
                <w:szCs w:val="16"/>
              </w:rPr>
            </w:r>
            <w:r>
              <w:rPr>
                <w:rFonts w:cs="Arial" w:ascii="Arial" w:hAnsi="Arial"/>
                <w:sz w:val="16"/>
                <w:szCs w:val="16"/>
              </w:rPr>
              <w:t xml:space="preserve"> </w:t>
            </w:r>
          </w:p>
        </w:tc>
      </w:tr>
      <w:tr>
        <w:trPr>
          <w:trHeight w:val="397" w:hRule="atLeast"/>
        </w:trPr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Data di nascita </w:t>
            </w:r>
            <w:r>
              <w:rPr>
                <w:rFonts w:cs="Arial" w:ascii="Arial" w:hAnsi="Arial"/>
                <w:sz w:val="16"/>
                <w:szCs w:val="16"/>
              </w:rPr>
            </w:r>
            <w:sdt>
              <w:sdtPr>
                <w:date w:fullDate="1900-01-01T00:00:00Z">
                  <w:dateFormat w:val="dd/MM/yyyy"/>
                  <w:lid w:val="en-US"/>
                  <w:storeMappedDataAs w:val="dateTime"/>
                  <w:calendar w:val="gregorian"/>
                </w:date>
              </w:sdtPr>
              <w:sdtContent>
                <w:r>
                  <w:t>01/01/1900</w:t>
                </w:r>
              </w:sdtContent>
            </w:sdt>
            <w:r>
              <w:rPr>
                <w:rFonts w:cs="Arial"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4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Codice Fiscale </w:t>
            </w: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trHeight w:val="397" w:hRule="atLeast"/>
        </w:trPr>
        <w:tc>
          <w:tcPr>
            <w:tcW w:w="96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/>
                <w:b w:val="false"/>
                <w:i w:val="false"/>
                <w:sz w:val="16"/>
              </w:rPr>
            </w:pPr>
            <w:r>
              <w:rPr>
                <w:rFonts w:ascii="Arial" w:hAnsi="Arial"/>
                <w:b w:val="false"/>
                <w:i w:val="false"/>
                <w:sz w:val="16"/>
              </w:rPr>
              <w:t>Luogo nascita</w:t>
            </w:r>
          </w:p>
        </w:tc>
      </w:tr>
      <w:tr>
        <w:trPr>
          <w:trHeight w:val="397" w:hRule="atLeast"/>
        </w:trPr>
        <w:tc>
          <w:tcPr>
            <w:tcW w:w="4821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b w:val="false"/>
                <w:i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Comune: </w:t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 </w:t>
            </w:r>
          </w:p>
        </w:tc>
        <w:tc>
          <w:tcPr>
            <w:tcW w:w="4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b w:val="false"/>
                <w:i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Provincia: </w:t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 </w:t>
            </w:r>
          </w:p>
        </w:tc>
      </w:tr>
      <w:tr>
        <w:trPr>
          <w:trHeight w:val="450" w:hRule="atLeast"/>
        </w:trPr>
        <w:tc>
          <w:tcPr>
            <w:tcW w:w="4821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Città estera: </w:t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 </w:t>
            </w:r>
          </w:p>
        </w:tc>
        <w:tc>
          <w:tcPr>
            <w:tcW w:w="4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b w:val="false"/>
                <w:i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Stato: </w:t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 </w:t>
            </w:r>
          </w:p>
        </w:tc>
      </w:tr>
      <w:tr>
        <w:trPr>
          <w:trHeight w:val="527" w:hRule="atLeast"/>
        </w:trPr>
        <w:tc>
          <w:tcPr>
            <w:tcW w:w="9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57" w:after="57"/>
              <w:jc w:val="both"/>
              <w:rPr>
                <w:rFonts w:ascii="Arial" w:hAnsi="Arial" w:cs="Arial"/>
                <w:i/>
                <w:i/>
                <w:sz w:val="16"/>
                <w:szCs w:val="16"/>
              </w:rPr>
            </w:pPr>
            <w:r>
              <w:rPr>
                <w:rFonts w:cs="Arial" w:ascii="Arial" w:hAnsi="Arial"/>
                <w:i/>
                <w:sz w:val="16"/>
                <w:szCs w:val="16"/>
              </w:rPr>
              <w:t>consapevole delle sanzioni penali previste dalla legge per le false dichiarazioni e attestazioni (art. 76 del D.P.R. n°445 del 28/12/2000 e Codice penale), sotto la propria responsabilità,</w:t>
            </w:r>
          </w:p>
        </w:tc>
      </w:tr>
      <w:tr>
        <w:trPr>
          <w:trHeight w:val="236" w:hRule="atLeast"/>
        </w:trPr>
        <w:tc>
          <w:tcPr>
            <w:tcW w:w="9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DICHIARA</w:t>
            </w:r>
          </w:p>
        </w:tc>
      </w:tr>
    </w:tbl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  <w:r>
        <w:br w:type="page"/>
      </w:r>
    </w:p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9638" w:type="dxa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38"/>
      </w:tblGrid>
      <w:tr>
        <w:trPr>
          <w:trHeight w:val="397" w:hRule="atLeast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spacing w:before="57" w:after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  <w:r>
              <w:rPr>
                <w:rFonts w:cs="Arial" w:ascii="Arial" w:hAnsi="Arial"/>
                <w:sz w:val="16"/>
                <w:szCs w:val="16"/>
              </w:rPr>
              <w:t xml:space="preserve"> </w:t>
            </w:r>
            <w:r>
              <w:rPr>
                <w:rFonts w:cs="Arial" w:ascii="Arial" w:hAnsi="Arial"/>
                <w:sz w:val="16"/>
                <w:szCs w:val="16"/>
              </w:rPr>
              <w:t>di essere il/la responsabile tecnico/a e di essere in possesso di apposita idoneità professionale, comprovata dal possesso di almeno uno dei seguenti requisiti (art. 2, comma 2, della L. n. 84 del 2006 e specifiche disposizioni regionali di settore)</w:t>
            </w:r>
          </w:p>
          <w:p>
            <w:pPr>
              <w:pStyle w:val="Normal"/>
              <w:snapToGrid w:val="false"/>
              <w:spacing w:before="57" w:after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  <w:r>
              <w:rPr>
                <w:rFonts w:cs="Arial" w:ascii="Arial" w:hAnsi="Arial"/>
                <w:sz w:val="16"/>
                <w:szCs w:val="16"/>
              </w:rPr>
              <w:t xml:space="preserve"> </w:t>
            </w:r>
            <w:r>
              <w:rPr>
                <w:rFonts w:cs="Arial" w:ascii="Arial" w:hAnsi="Arial"/>
                <w:sz w:val="16"/>
                <w:szCs w:val="16"/>
              </w:rPr>
              <w:t>il responsabile tecnico è un soggetto terzo, che ha accettato la designazione e ha compilato le dichiarazioni di possesso dei requisiti morali e professionali</w:t>
            </w:r>
          </w:p>
        </w:tc>
      </w:tr>
      <w:tr>
        <w:trPr>
          <w:trHeight w:val="397" w:hRule="atLeast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spacing w:before="57" w:after="5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l’attività impiega lavatrici ad acqua analoghe a quelle di uso domestico, che effettivamente trattino:</w:t>
            </w:r>
          </w:p>
          <w:p>
            <w:pPr>
              <w:pStyle w:val="Normal"/>
              <w:snapToGrid w:val="false"/>
              <w:spacing w:before="0" w:after="57"/>
              <w:ind w:left="340" w:right="0" w:hanging="0"/>
              <w:jc w:val="both"/>
              <w:rPr/>
            </w:pPr>
            <w:r>
              <w:rPr>
                <w:rFonts w:cs="Arial" w:ascii="Arial" w:hAnsi="Arial"/>
                <w:sz w:val="16"/>
                <w:szCs w:val="16"/>
              </w:rPr>
            </w:r>
            <w:r>
              <w:rPr>
                <w:rFonts w:cs="Arial" w:ascii="Arial" w:hAnsi="Arial"/>
                <w:sz w:val="16"/>
                <w:szCs w:val="16"/>
              </w:rPr>
              <w:t xml:space="preserve"> </w:t>
            </w:r>
            <w:r>
              <w:rPr>
                <w:rFonts w:cs="Arial" w:ascii="Arial" w:hAnsi="Arial"/>
                <w:sz w:val="16"/>
                <w:szCs w:val="16"/>
              </w:rPr>
              <w:t>meno di 100 kg biancheria al giorno</w:t>
            </w:r>
          </w:p>
          <w:p>
            <w:pPr>
              <w:pStyle w:val="Normal"/>
              <w:snapToGrid w:val="false"/>
              <w:spacing w:before="0" w:after="57"/>
              <w:ind w:left="340" w:right="0" w:hanging="0"/>
              <w:jc w:val="both"/>
              <w:rPr/>
            </w:pPr>
            <w:r>
              <w:rPr>
                <w:rFonts w:cs="Arial" w:ascii="Arial" w:hAnsi="Arial"/>
                <w:sz w:val="16"/>
                <w:szCs w:val="16"/>
              </w:rPr>
            </w:r>
            <w:r>
              <w:rPr>
                <w:rFonts w:cs="Arial" w:ascii="Arial" w:hAnsi="Arial"/>
                <w:sz w:val="16"/>
                <w:szCs w:val="16"/>
              </w:rPr>
              <w:t xml:space="preserve"> </w:t>
            </w:r>
            <w:r>
              <w:rPr>
                <w:rFonts w:cs="Arial" w:ascii="Arial" w:hAnsi="Arial"/>
                <w:sz w:val="16"/>
                <w:szCs w:val="16"/>
              </w:rPr>
              <w:t>più di 100 kg di biancheria al giorno, e pertanto presenta in allegato la documentazione per la richiesta di AUA per gli scarichi di acque reflue (*)</w:t>
            </w:r>
          </w:p>
        </w:tc>
      </w:tr>
      <w:tr>
        <w:trPr>
          <w:trHeight w:val="397" w:hRule="atLeast"/>
        </w:trPr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TextBody"/>
              <w:snapToGrid w:val="false"/>
              <w:spacing w:before="57" w:after="5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dichiara inoltre, relativamente ai locali di attività, di aver rispettato:</w:t>
            </w:r>
          </w:p>
          <w:p>
            <w:pPr>
              <w:pStyle w:val="TextBody"/>
              <w:snapToGrid w:val="false"/>
              <w:spacing w:before="57" w:after="5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 regolamenti locali di polizia urbana, annonaria e di igiene e sanità, i regolamenti edilizi e le norme urbanistiche, nonché quelle relative alle destinazioni d'uso</w:t>
            </w:r>
          </w:p>
        </w:tc>
      </w:tr>
      <w:tr>
        <w:trPr>
          <w:trHeight w:val="397" w:hRule="atLeast"/>
        </w:trPr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spacing w:before="57" w:after="57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dichiara inoltre</w:t>
            </w:r>
          </w:p>
          <w:p>
            <w:pPr>
              <w:pStyle w:val="Normal"/>
              <w:numPr>
                <w:ilvl w:val="0"/>
                <w:numId w:val="2"/>
              </w:numPr>
              <w:snapToGrid w:val="false"/>
              <w:spacing w:before="0" w:after="57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 rispettare le norme sulla sicurezza sui luoghi di lavoro</w:t>
            </w:r>
          </w:p>
          <w:p>
            <w:pPr>
              <w:pStyle w:val="Normal"/>
              <w:numPr>
                <w:ilvl w:val="0"/>
                <w:numId w:val="2"/>
              </w:numPr>
              <w:snapToGrid w:val="false"/>
              <w:spacing w:before="0" w:after="57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 impegnarsi a comunicare ogni variazione relativa a stati, fatti, condizioni e titolarità rispetto a quanto dichiarato</w:t>
            </w:r>
          </w:p>
        </w:tc>
      </w:tr>
    </w:tbl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9638" w:type="dxa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38"/>
      </w:tblGrid>
      <w:tr>
        <w:trPr>
          <w:trHeight w:val="342" w:hRule="atLeast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snapToGrid w:val="false"/>
              <w:spacing w:before="57" w:after="57"/>
              <w:jc w:val="center"/>
              <w:rPr/>
            </w:pPr>
            <w:r>
              <w:rPr>
                <w:rFonts w:cs="Arial" w:ascii="Arial" w:hAnsi="Arial"/>
                <w:b/>
                <w:bCs/>
                <w:color w:val="auto"/>
                <w:sz w:val="16"/>
                <w:szCs w:val="16"/>
              </w:rPr>
              <w:t xml:space="preserve">(*) </w:t>
            </w:r>
            <w:r>
              <w:rPr>
                <w:rFonts w:cs="Arial" w:ascii="Arial" w:hAnsi="Arial"/>
                <w:b/>
                <w:color w:val="0000FF"/>
                <w:sz w:val="16"/>
                <w:szCs w:val="16"/>
              </w:rPr>
              <w:t>Dichiarazioni specifiche in materia di gioco lecito (selezionare un'opzione)</w:t>
            </w:r>
            <w:r>
              <w:rPr>
                <w:rStyle w:val="FootnoteAnchor"/>
                <w:rFonts w:cs="Arial" w:ascii="Arial" w:hAnsi="Arial"/>
                <w:b/>
                <w:color w:val="0000FF"/>
                <w:sz w:val="16"/>
                <w:szCs w:val="16"/>
              </w:rPr>
              <w:footnoteReference w:id="4"/>
            </w:r>
          </w:p>
        </w:tc>
      </w:tr>
      <w:tr>
        <w:trPr>
          <w:trHeight w:val="294" w:hRule="atLeast"/>
        </w:trPr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spacing w:before="57" w:after="57"/>
              <w:jc w:val="both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di non detenere alcun apparecchio per il gioco lecito</w:t>
            </w:r>
          </w:p>
        </w:tc>
      </w:tr>
      <w:tr>
        <w:trPr>
          <w:trHeight w:val="294" w:hRule="atLeast"/>
        </w:trPr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spacing w:before="57" w:after="57"/>
              <w:jc w:val="both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 xml:space="preserve">di detenere n.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 xml:space="preserve"> apparecchi per il gioco lecito collegati alla rete telematica SOGEI a una distanza superiore a 500 metri dai luoghi sensibili   </w:t>
            </w:r>
          </w:p>
        </w:tc>
      </w:tr>
      <w:tr>
        <w:trPr>
          <w:trHeight w:val="527" w:hRule="atLeast"/>
        </w:trPr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spacing w:before="57" w:after="57"/>
              <w:jc w:val="both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 xml:space="preserve">di detenere n.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 xml:space="preserve"> apparecchi per il gioco lecito collegati alla rete telematica SOGEI in data anteriore al 3 agosto 2017, a una distanza inferiore a 500 metri dai luoghi sensibili; </w:t>
            </w:r>
          </w:p>
          <w:p>
            <w:pPr>
              <w:pStyle w:val="Normal"/>
              <w:snapToGrid w:val="false"/>
              <w:spacing w:before="57" w:after="57"/>
              <w:jc w:val="both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 tal caso è consapevole dell'obbligo di rimozione degli apparecchi da gioco, nei termini previsti dall'art. 7 della Legge regionale 17 luglio 2017, n. 26, ovvero:</w:t>
            </w:r>
          </w:p>
          <w:p>
            <w:pPr>
              <w:pStyle w:val="Normal"/>
              <w:snapToGrid w:val="false"/>
              <w:spacing w:before="57" w:after="57"/>
              <w:jc w:val="both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a) entro cinque anni qualora si tratti di sale da gioco o sale scommesse (3 agosto 2022);</w:t>
            </w:r>
          </w:p>
          <w:p>
            <w:pPr>
              <w:pStyle w:val="Normal"/>
              <w:snapToGrid w:val="false"/>
              <w:spacing w:before="57" w:after="57"/>
              <w:jc w:val="both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b) entro tre anni nel caso di qualsiasi altra attività (3 agosto 2020)</w:t>
            </w:r>
          </w:p>
        </w:tc>
      </w:tr>
      <w:tr>
        <w:trPr>
          <w:trHeight w:val="527" w:hRule="atLeast"/>
        </w:trPr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spacing w:before="57" w:after="57"/>
              <w:jc w:val="both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 xml:space="preserve">di detenere n.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 xml:space="preserve"> apparecchi per il gioco lecito collegati alla rete telematica SOGEI in data anteriore al 3 agosto 2017, a una distanza inferiore a 500 metri dai luoghi sensibili, ma di avvalersi della deroga prevista dall'art.6, comma 11 della L.R. 1/2014</w:t>
            </w:r>
            <w:r>
              <w:rPr>
                <w:rStyle w:val="FootnoteAnchor"/>
                <w:rFonts w:cs="Arial" w:ascii="Arial" w:hAnsi="Arial"/>
                <w:b w:val="false"/>
                <w:bCs w:val="false"/>
                <w:sz w:val="16"/>
                <w:szCs w:val="16"/>
              </w:rPr>
              <w:footnoteReference w:id="5"/>
            </w:r>
          </w:p>
        </w:tc>
      </w:tr>
      <w:tr>
        <w:trPr>
          <w:trHeight w:val="527" w:hRule="atLeast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spacing w:before="57" w:after="57"/>
              <w:jc w:val="both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di collocare n.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 xml:space="preserve"> nuovi apparecchi per il gioco lecito a una distanza superiore a 500 metri dai luoghi sensibili</w:t>
            </w:r>
          </w:p>
        </w:tc>
      </w:tr>
      <w:tr>
        <w:trPr>
          <w:trHeight w:val="527" w:hRule="atLeast"/>
        </w:trPr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spacing w:before="57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 xml:space="preserve">di sostituire apparecchi per il gioco lecito già collegati alla rete telematica SOGEI: </w:t>
            </w:r>
          </w:p>
          <w:p>
            <w:pPr>
              <w:pStyle w:val="Normal"/>
              <w:snapToGrid w:val="false"/>
              <w:spacing w:before="57" w:after="0"/>
              <w:jc w:val="both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 xml:space="preserve">di cui n. 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 xml:space="preserve"> per vetustà</w:t>
            </w:r>
            <w:r>
              <w:rPr>
                <w:rStyle w:val="FootnoteAnchor"/>
                <w:rFonts w:cs="Arial" w:ascii="Arial" w:hAnsi="Arial"/>
                <w:b w:val="false"/>
                <w:bCs w:val="false"/>
                <w:sz w:val="16"/>
                <w:szCs w:val="16"/>
              </w:rPr>
              <w:footnoteReference w:id="6"/>
            </w:r>
          </w:p>
          <w:p>
            <w:pPr>
              <w:pStyle w:val="Normal"/>
              <w:snapToGrid w:val="false"/>
              <w:spacing w:before="57" w:after="0"/>
              <w:jc w:val="both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 xml:space="preserve">di cui n. 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 xml:space="preserve"> per guasto</w:t>
            </w:r>
            <w:r>
              <w:rPr>
                <w:rStyle w:val="FootnoteAnchor"/>
                <w:rFonts w:cs="Arial" w:ascii="Arial" w:hAnsi="Arial"/>
                <w:b w:val="false"/>
                <w:bCs w:val="false"/>
                <w:sz w:val="16"/>
                <w:szCs w:val="16"/>
              </w:rPr>
              <w:footnoteReference w:id="7"/>
            </w:r>
          </w:p>
          <w:p>
            <w:pPr>
              <w:pStyle w:val="Normal"/>
              <w:snapToGrid w:val="false"/>
              <w:spacing w:before="57" w:after="0"/>
              <w:jc w:val="both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(</w:t>
            </w:r>
            <w:r>
              <w:rPr>
                <w:rFonts w:cs="Arial" w:ascii="Arial" w:hAnsi="Arial"/>
                <w:b w:val="false"/>
                <w:bCs w:val="false"/>
                <w:i/>
                <w:iCs/>
                <w:sz w:val="16"/>
                <w:szCs w:val="16"/>
              </w:rPr>
              <w:t>specificare il motivo della vetustà o guasto come previsto dall'art. 6, comma 6, secondo capoverso della L.R. 1/14</w:t>
            </w:r>
            <w:r>
              <w:rPr>
                <w:rStyle w:val="FootnoteAnchor"/>
                <w:rFonts w:cs="Arial" w:ascii="Arial" w:hAnsi="Arial"/>
                <w:b w:val="false"/>
                <w:bCs w:val="false"/>
                <w:i/>
                <w:iCs/>
                <w:sz w:val="16"/>
                <w:szCs w:val="16"/>
              </w:rPr>
              <w:footnoteReference w:id="8"/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)</w:t>
            </w:r>
          </w:p>
          <w:p>
            <w:pPr>
              <w:pStyle w:val="Normal"/>
              <w:snapToGrid w:val="false"/>
              <w:spacing w:before="57" w:after="0"/>
              <w:jc w:val="both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</w:r>
          </w:p>
          <w:p>
            <w:pPr>
              <w:pStyle w:val="Normal"/>
              <w:snapToGrid w:val="false"/>
              <w:spacing w:before="57" w:after="57"/>
              <w:jc w:val="both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collocati a una distanza:</w:t>
            </w:r>
          </w:p>
          <w:p>
            <w:pPr>
              <w:pStyle w:val="Normal"/>
              <w:snapToGrid w:val="false"/>
              <w:spacing w:before="57" w:after="57"/>
              <w:jc w:val="both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 xml:space="preserve"> 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superiore a 500 metri dai luoghi sensibili</w:t>
            </w:r>
          </w:p>
          <w:p>
            <w:pPr>
              <w:pStyle w:val="Normal"/>
              <w:snapToGrid w:val="false"/>
              <w:spacing w:before="57" w:after="57"/>
              <w:jc w:val="both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 xml:space="preserve"> 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inferiore a 500 metri dai luoghi sensibili; in tal caso è consapevole dell'obbligo di rimozione degli apparecchi da gioco, nei termini previsti dall'art. 7 della Legge regionale 17 luglio 2017, n. 26, ovvero:</w:t>
            </w:r>
          </w:p>
          <w:p>
            <w:pPr>
              <w:pStyle w:val="Normal"/>
              <w:snapToGrid w:val="false"/>
              <w:spacing w:before="57" w:after="57"/>
              <w:jc w:val="both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a) entro cinque anni qualora si tratti di sale da gioco o sale scommesse (3 agosto 2022);</w:t>
            </w:r>
          </w:p>
          <w:p>
            <w:pPr>
              <w:pStyle w:val="Normal"/>
              <w:snapToGrid w:val="false"/>
              <w:spacing w:before="57" w:after="57"/>
              <w:jc w:val="both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b) entro tre anni nel caso di qualsiasi altra attività (3 agosto 2020)</w:t>
            </w:r>
          </w:p>
        </w:tc>
      </w:tr>
    </w:tbl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rPr>
          <w:rFonts w:ascii="Arial" w:hAnsi="Arial"/>
          <w:b/>
          <w:b/>
          <w:bCs/>
          <w:sz w:val="12"/>
          <w:szCs w:val="12"/>
        </w:rPr>
      </w:pPr>
      <w:r>
        <w:rPr>
          <w:rFonts w:ascii="Arial" w:hAnsi="Arial"/>
          <w:b/>
          <w:bCs/>
          <w:sz w:val="12"/>
          <w:szCs w:val="12"/>
        </w:rPr>
        <w:t>INFORMATIVA SULLA PRIVACY (ART. 13 del d.lgs. n. 196/2003)</w:t>
      </w:r>
    </w:p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  <w:t>Il D.Lgs. n. 196 del 30 giugno 2003 (“Codice in materia di protezione dei dati personali”) tutela le persone e gli altri soggetti rispetto al trattamento dei dati personali. Pertanto, come previsto dall’art. 13 del Codice, si forniscono le seguenti informazioni:</w:t>
      </w:r>
    </w:p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  <w:t>Finalità del trattamento. I dati personali saranno utilizzati dagli uffici nell’ambito del procedimento per il quale la dichiarazione viene resa.</w:t>
      </w:r>
    </w:p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  <w:t>Modalità del trattamento. I dati saranno trattati dagli incaricati sia con strumenti cartacei sia con strumenti informatici a disposizione degli uffici.</w:t>
      </w:r>
    </w:p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  <w:t>Ambito di comunicazione. I dati potranno essere comunicati a terzi nei casi previsti della Legge 7 agosto 1990, n. 241 (“Nuove norme in materia di procedimento amministrativo e di diritto di accesso ai documenti amministrativi”) ove applicabile, e in caso di controlli sulla veridicità delle dichiarazioni (art. 71 del D.P.R. 28 dicembre 2000 n. 445 (“Testo unico delle disposizioni legislative e regolamentari in materia di documentazione amministrativa”).</w:t>
      </w:r>
    </w:p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  <w:t>Diritti. L’interessato può in ogni momento esercitare i diritti di accesso, di rettifica, di aggiornamento e di integrazione dei dati come previsto dall’art. 7 del d.lgs. n. 196/2003. Per esercitare tali diritti tutte le richieste devono essere rivolte al SUAP.</w:t>
      </w:r>
    </w:p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  <w:t>Titolare del trattamento: SUAP in cui è localizzata l'attività</w:t>
      </w:r>
    </w:p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  <w:t>Il/la sottoscritto/a dichiara di aver letto l’informativa sul trattamento dei dati personali.</w:t>
      </w:r>
    </w:p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9619" w:type="dxa"/>
        <w:jc w:val="left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-5" w:type="dxa"/>
          <w:bottom w:w="0" w:type="dxa"/>
          <w:right w:w="0" w:type="dxa"/>
        </w:tblCellMar>
      </w:tblPr>
      <w:tblGrid>
        <w:gridCol w:w="5352"/>
        <w:gridCol w:w="4267"/>
      </w:tblGrid>
      <w:tr>
        <w:trPr/>
        <w:tc>
          <w:tcPr>
            <w:tcW w:w="9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TableContents"/>
              <w:pBdr/>
              <w:spacing w:before="0" w:after="0"/>
              <w:ind w:left="79" w:right="-85" w:hanging="0"/>
              <w:rPr>
                <w:rFonts w:ascii="Arial" w:hAnsi="Arial"/>
                <w:b/>
                <w:color w:val="FF0000"/>
                <w:sz w:val="28"/>
                <w:szCs w:val="28"/>
              </w:rPr>
            </w:pPr>
            <w:r>
              <w:rPr>
                <w:rFonts w:ascii="Arial" w:hAnsi="Arial"/>
                <w:b/>
                <w:color w:val="FF0000"/>
                <w:sz w:val="28"/>
                <w:szCs w:val="28"/>
              </w:rPr>
              <w:t>3. Opzioni di firma</w:t>
            </w:r>
          </w:p>
        </w:tc>
      </w:tr>
      <w:tr>
        <w:trPr/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TableContents"/>
              <w:suppressLineNumbers/>
              <w:pBdr/>
              <w:snapToGrid w:val="false"/>
              <w:spacing w:before="57" w:after="57"/>
              <w:ind w:left="57" w:right="131" w:hanging="0"/>
              <w:jc w:val="both"/>
              <w:rPr>
                <w:rFonts w:ascii="Arial" w:hAnsi="Arial" w:cs="Arial"/>
                <w:b w:val="false"/>
                <w:bCs w:val="false"/>
                <w:i w:val="false"/>
                <w:iCs w:val="false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iCs w:val="false"/>
                <w:sz w:val="16"/>
                <w:szCs w:val="16"/>
              </w:rPr>
              <w:t>In caso sia stata conferita procura speciale</w:t>
            </w:r>
            <w:r>
              <w:rPr>
                <w:rFonts w:cs="Arial" w:ascii="Arial" w:hAnsi="Arial"/>
                <w:bCs w:val="false"/>
                <w:iCs w:val="false"/>
                <w:sz w:val="16"/>
                <w:szCs w:val="16"/>
              </w:rPr>
              <w:t xml:space="preserve">, il presente documento è sottoscritto con </w:t>
            </w:r>
            <w:r>
              <w:rPr>
                <w:rFonts w:cs="Arial" w:ascii="Arial" w:hAnsi="Arial"/>
                <w:b/>
                <w:bCs/>
                <w:iCs w:val="false"/>
                <w:sz w:val="16"/>
                <w:szCs w:val="16"/>
              </w:rPr>
              <w:t>firma autografa</w:t>
            </w:r>
            <w:r>
              <w:rPr>
                <w:rFonts w:cs="Arial" w:ascii="Arial" w:hAnsi="Arial"/>
                <w:bCs w:val="false"/>
                <w:iCs w:val="false"/>
                <w:sz w:val="16"/>
                <w:szCs w:val="16"/>
              </w:rPr>
              <w:t xml:space="preserve"> dal soggetto delegante e conservato in originale dal procuratore, il quale provvederà a firmare digitalmente il modulo inviato al SUAP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spacing w:before="57" w:after="0"/>
              <w:ind w:left="103" w:right="0" w:hanging="0"/>
              <w:rPr>
                <w:rFonts w:ascii="Arial" w:hAnsi="Arial" w:cs="Arial"/>
                <w:b w:val="false"/>
                <w:bCs w:val="false"/>
                <w:i w:val="false"/>
                <w:iCs w:val="false"/>
                <w:sz w:val="12"/>
                <w:szCs w:val="12"/>
              </w:rPr>
            </w:pPr>
            <w:r>
              <w:rPr>
                <w:rFonts w:cs="Arial" w:ascii="Arial" w:hAnsi="Arial"/>
                <w:bCs w:val="false"/>
                <w:iCs w:val="false"/>
                <w:sz w:val="12"/>
                <w:szCs w:val="12"/>
              </w:rPr>
              <w:t>(Firma autografa in questo spazio)</w:t>
            </w:r>
          </w:p>
        </w:tc>
      </w:tr>
    </w:tbl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9621" w:type="dxa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8" w:type="dxa"/>
          <w:left w:w="103" w:type="dxa"/>
          <w:bottom w:w="108" w:type="dxa"/>
          <w:right w:w="108" w:type="dxa"/>
        </w:tblCellMar>
      </w:tblPr>
      <w:tblGrid>
        <w:gridCol w:w="9621"/>
      </w:tblGrid>
      <w:tr>
        <w:trPr>
          <w:trHeight w:val="284" w:hRule="atLeast"/>
        </w:trPr>
        <w:tc>
          <w:tcPr>
            <w:tcW w:w="9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spacing w:before="0" w:after="57"/>
              <w:jc w:val="both"/>
              <w:rPr>
                <w:rFonts w:ascii="Arial" w:hAnsi="Arial" w:cs="Arial"/>
                <w:b/>
                <w:b/>
                <w:color w:val="0000FF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FF"/>
                <w:sz w:val="20"/>
                <w:szCs w:val="20"/>
              </w:rPr>
              <w:t>Note di compilazione</w:t>
            </w:r>
          </w:p>
          <w:p>
            <w:pPr>
              <w:pStyle w:val="Normal"/>
              <w:snapToGrid w:val="false"/>
              <w:jc w:val="left"/>
              <w:rPr>
                <w:rFonts w:ascii="Arial" w:hAnsi="Arial"/>
                <w:b/>
                <w:b/>
                <w:bCs/>
                <w:color w:val="auto"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color w:val="auto"/>
                <w:sz w:val="12"/>
                <w:szCs w:val="12"/>
              </w:rPr>
              <w:t>A seguito dell'Accordo raggiunto sulla modulistica unificata e standardizzata, approvata dalla Conferenza Unificata  in data 6 luglio 2017:</w:t>
            </w:r>
          </w:p>
          <w:p>
            <w:pPr>
              <w:pStyle w:val="Normal"/>
              <w:snapToGrid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1) Non potranno più essere richiesti certificati, atti e documenti che la Pubblica Amministrazione già possiede (per esempio: le certificazioni relative ai titoli di studio o professionali, richiesti per avviare alcune attività, la certificazione antimafia, etc.), ma solo gli elementi che consentano all'amministrazione di acquisirli o di effettuare i relativi controlli, anche a campione (articolo 18, legge n. 241 del 1990).</w:t>
            </w:r>
          </w:p>
          <w:p>
            <w:pPr>
              <w:pStyle w:val="Normal"/>
              <w:snapToGrid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2) Non potranno più essere richiesti dati e adempimenti che derivano da prassi amministrative, ma che non sono espressamente previsti dalla legge (ad esempio: non potrà più essere richiesto il certificato di agibilità dei locali per l'avvio di un'attività commerciale o produttiva). Sarà sufficiente una semplice dichiarazione di conformità ai regolamenti urbanistici, igienico sanitari, etc.</w:t>
            </w:r>
          </w:p>
        </w:tc>
      </w:tr>
    </w:tbl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snapToGrid w:val="false"/>
        <w:jc w:val="both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  <w:t>Attenzione: qualora dai controlli successivi il contenuto delle dichiarazioni risulti non corrispondente al vero, oltre alle sanzioni penali, è prevista la decadenza dai benefici ottenuti sulla base delle dichiarazioni stesse (art. 75 del DPR 445 del 2000).</w:t>
      </w:r>
    </w:p>
    <w:p>
      <w:pPr>
        <w:pStyle w:val="Normal"/>
        <w:snapToGrid w:val="false"/>
        <w:jc w:val="both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p>
      <w:pPr>
        <w:pStyle w:val="Normal"/>
        <w:snapToGrid w:val="false"/>
        <w:jc w:val="both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  <w:r>
        <w:br w:type="page"/>
      </w:r>
    </w:p>
    <w:tbl>
      <w:tblPr>
        <w:tblW w:w="9638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2408"/>
        <w:gridCol w:w="3615"/>
        <w:gridCol w:w="3615"/>
      </w:tblGrid>
      <w:tr>
        <w:trPr/>
        <w:tc>
          <w:tcPr>
            <w:tcW w:w="96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Heading2"/>
              <w:keepNext w:val="true"/>
              <w:pageBreakBefore/>
              <w:numPr>
                <w:ilvl w:val="0"/>
                <w:numId w:val="0"/>
              </w:numPr>
              <w:spacing w:before="57" w:after="57"/>
              <w:ind w:left="0" w:right="0" w:hanging="0"/>
              <w:rPr>
                <w:rFonts w:ascii="Arial" w:hAnsi="Arial" w:eastAsia="Arial Unicode MS" w:cs="Tahoma"/>
                <w:i w:val="false"/>
                <w:i w:val="false"/>
                <w:iCs w:val="false"/>
                <w:color w:val="0000FF"/>
                <w:sz w:val="16"/>
                <w:szCs w:val="16"/>
              </w:rPr>
            </w:pPr>
            <w:r>
              <w:rPr>
                <w:rFonts w:eastAsia="Arial Unicode MS" w:cs="Tahoma"/>
                <w:i w:val="false"/>
                <w:iCs w:val="false"/>
                <w:color w:val="0000FF"/>
                <w:sz w:val="16"/>
                <w:szCs w:val="16"/>
              </w:rPr>
              <w:t xml:space="preserve">Quadro riepilogativo della documentazione allegata </w:t>
            </w:r>
          </w:p>
        </w:tc>
      </w:tr>
      <w:tr>
        <w:trPr/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Heading2"/>
              <w:keepNext w:val="true"/>
              <w:numPr>
                <w:ilvl w:val="0"/>
                <w:numId w:val="0"/>
              </w:numPr>
              <w:spacing w:before="57" w:after="57"/>
              <w:ind w:left="0" w:right="0" w:hanging="0"/>
              <w:rPr>
                <w:rFonts w:ascii="Arial" w:hAnsi="Arial" w:eastAsia="Arial Unicode MS" w:cs="Tahoma"/>
                <w:i w:val="false"/>
                <w:i w:val="false"/>
                <w:iCs w:val="false"/>
                <w:color w:val="0000FF"/>
                <w:sz w:val="16"/>
                <w:szCs w:val="16"/>
              </w:rPr>
            </w:pPr>
            <w:r>
              <w:rPr>
                <w:rFonts w:eastAsia="Arial Unicode MS" w:cs="Tahoma"/>
                <w:i w:val="false"/>
                <w:iCs w:val="false"/>
                <w:color w:val="0000FF"/>
                <w:sz w:val="16"/>
                <w:szCs w:val="16"/>
              </w:rPr>
              <w:t>Il sistema SUAP in rete propone automaticamente i moduli e gli allegati necessari per il procedimento scelto</w:t>
            </w:r>
          </w:p>
        </w:tc>
      </w:tr>
      <w:tr>
        <w:trPr/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Heading2"/>
              <w:keepNext w:val="true"/>
              <w:numPr>
                <w:ilvl w:val="0"/>
                <w:numId w:val="0"/>
              </w:numPr>
              <w:spacing w:before="57" w:after="57"/>
              <w:ind w:left="0" w:right="0" w:hanging="0"/>
              <w:jc w:val="center"/>
              <w:rPr>
                <w:rFonts w:ascii="Arial" w:hAnsi="Arial" w:eastAsia="Arial Unicode MS" w:cs="Tahoma"/>
                <w:b w:val="false"/>
                <w:b w:val="false"/>
                <w:bCs w:val="false"/>
                <w:i w:val="false"/>
                <w:i w:val="false"/>
                <w:iCs w:val="false"/>
                <w:color w:val="0000FF"/>
                <w:sz w:val="16"/>
                <w:szCs w:val="16"/>
              </w:rPr>
            </w:pPr>
            <w:r>
              <w:rPr>
                <w:rFonts w:eastAsia="Arial Unicode MS" w:cs="Tahoma"/>
                <w:b w:val="false"/>
                <w:bCs w:val="false"/>
                <w:i w:val="false"/>
                <w:iCs w:val="false"/>
                <w:color w:val="0000FF"/>
                <w:sz w:val="16"/>
                <w:szCs w:val="16"/>
              </w:rPr>
              <w:t xml:space="preserve">Denominazione </w:t>
            </w:r>
          </w:p>
        </w:tc>
        <w:tc>
          <w:tcPr>
            <w:tcW w:w="72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Heading2"/>
              <w:keepNext w:val="true"/>
              <w:numPr>
                <w:ilvl w:val="0"/>
                <w:numId w:val="0"/>
              </w:numPr>
              <w:spacing w:before="57" w:after="57"/>
              <w:ind w:left="0" w:right="0" w:hanging="0"/>
              <w:jc w:val="center"/>
              <w:rPr>
                <w:rFonts w:ascii="Arial" w:hAnsi="Arial" w:eastAsia="Arial Unicode MS" w:cs="Tahoma"/>
                <w:b w:val="false"/>
                <w:b w:val="false"/>
                <w:bCs w:val="false"/>
                <w:i w:val="false"/>
                <w:i w:val="false"/>
                <w:iCs w:val="false"/>
                <w:color w:val="0000FF"/>
                <w:sz w:val="16"/>
                <w:szCs w:val="16"/>
              </w:rPr>
            </w:pPr>
            <w:r>
              <w:rPr>
                <w:rFonts w:eastAsia="Arial Unicode MS" w:cs="Tahoma"/>
                <w:b w:val="false"/>
                <w:bCs w:val="false"/>
                <w:i w:val="false"/>
                <w:iCs w:val="false"/>
                <w:color w:val="0000FF"/>
                <w:sz w:val="16"/>
                <w:szCs w:val="16"/>
              </w:rPr>
              <w:t>Casi in cui è previsto il documento allegato</w:t>
            </w:r>
          </w:p>
        </w:tc>
      </w:tr>
      <w:tr>
        <w:trPr/>
        <w:tc>
          <w:tcPr>
            <w:tcW w:w="240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 xml:space="preserve">Procura/delega </w:t>
            </w:r>
          </w:p>
        </w:tc>
        <w:tc>
          <w:tcPr>
            <w:tcW w:w="723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Nel caso di procura/delega a presentare la segnalazione</w:t>
            </w:r>
          </w:p>
        </w:tc>
      </w:tr>
      <w:tr>
        <w:trPr/>
        <w:tc>
          <w:tcPr>
            <w:tcW w:w="240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Copia del documento di identità del/i titolare/i</w:t>
            </w:r>
          </w:p>
        </w:tc>
        <w:tc>
          <w:tcPr>
            <w:tcW w:w="723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Nel caso in cui la segnalazione non sia sottoscritta in forma digitale e in assenza di procura</w:t>
            </w:r>
          </w:p>
        </w:tc>
      </w:tr>
      <w:tr>
        <w:trPr/>
        <w:tc>
          <w:tcPr>
            <w:tcW w:w="240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Dichiarazioni sul possesso dei requisiti da parte degli altri soci + copia del documento di identità</w:t>
            </w:r>
          </w:p>
        </w:tc>
        <w:tc>
          <w:tcPr>
            <w:tcW w:w="723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Sempre, in presenza di soggetti (es. soci) diversi dal dichiarante</w:t>
            </w:r>
          </w:p>
        </w:tc>
      </w:tr>
      <w:tr>
        <w:trPr/>
        <w:tc>
          <w:tcPr>
            <w:tcW w:w="240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Dichiarazioni sul possesso dei requisiti da parte del responsabile tecnico + copia del documento di identità</w:t>
            </w:r>
          </w:p>
        </w:tc>
        <w:tc>
          <w:tcPr>
            <w:tcW w:w="361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Sempre, in presenza di un responsabile tecnico diverso dal dichiarante</w:t>
            </w:r>
          </w:p>
        </w:tc>
        <w:tc>
          <w:tcPr>
            <w:tcW w:w="36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Documento previsto solo per attività di tintolavanderia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638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3863"/>
        <w:gridCol w:w="2887"/>
        <w:gridCol w:w="2888"/>
      </w:tblGrid>
      <w:tr>
        <w:trPr/>
        <w:tc>
          <w:tcPr>
            <w:tcW w:w="96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Heading2"/>
              <w:keepNext w:val="true"/>
              <w:numPr>
                <w:ilvl w:val="0"/>
                <w:numId w:val="0"/>
              </w:numPr>
              <w:spacing w:before="57" w:after="57"/>
              <w:ind w:left="0" w:right="0" w:hanging="0"/>
              <w:rPr>
                <w:rFonts w:ascii="Arial" w:hAnsi="Arial" w:eastAsia="Arial Unicode MS" w:cs="Tahoma"/>
                <w:i w:val="false"/>
                <w:i w:val="false"/>
                <w:iCs w:val="false"/>
                <w:color w:val="0000FF"/>
                <w:sz w:val="16"/>
                <w:szCs w:val="16"/>
              </w:rPr>
            </w:pPr>
            <w:r>
              <w:rPr>
                <w:rFonts w:eastAsia="Arial Unicode MS" w:cs="Tahoma"/>
                <w:i w:val="false"/>
                <w:iCs w:val="false"/>
                <w:color w:val="0000FF"/>
                <w:sz w:val="16"/>
                <w:szCs w:val="16"/>
              </w:rPr>
              <w:t>SEGNALAZIONI, COMUNICAZIONI O DOMANDE COLLEGATE (utilizzando il sistema telematico)</w:t>
            </w:r>
          </w:p>
        </w:tc>
      </w:tr>
      <w:tr>
        <w:trPr/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Heading2"/>
              <w:numPr>
                <w:ilvl w:val="1"/>
                <w:numId w:val="1"/>
              </w:numPr>
              <w:spacing w:before="57" w:after="57"/>
              <w:ind w:left="0" w:right="0" w:hanging="576"/>
              <w:jc w:val="center"/>
              <w:rPr>
                <w:rFonts w:ascii="Arial" w:hAnsi="Arial" w:eastAsia="Arial Unicode MS" w:cs="Tahoma"/>
                <w:i w:val="false"/>
                <w:i w:val="false"/>
                <w:iCs w:val="false"/>
                <w:color w:val="0000FF"/>
                <w:sz w:val="16"/>
                <w:szCs w:val="16"/>
              </w:rPr>
            </w:pPr>
            <w:r>
              <w:rPr>
                <w:rFonts w:eastAsia="Arial Unicode MS" w:cs="Tahoma"/>
                <w:i w:val="false"/>
                <w:iCs w:val="false"/>
                <w:color w:val="0000FF"/>
                <w:sz w:val="16"/>
                <w:szCs w:val="16"/>
              </w:rPr>
              <w:t>Segnalazioni e comunicazioni</w:t>
            </w:r>
          </w:p>
        </w:tc>
      </w:tr>
      <w:tr>
        <w:trPr/>
        <w:tc>
          <w:tcPr>
            <w:tcW w:w="3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SCIA prevenzione incendi</w:t>
            </w:r>
          </w:p>
        </w:tc>
        <w:tc>
          <w:tcPr>
            <w:tcW w:w="57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 xml:space="preserve">Nel caso di impianti per la produzione di calore con potenzialità superiore a 116 kw o utilizzo di impianti di produzione calore alimentati a combustibile solido, liquido o gassoso </w:t>
            </w:r>
          </w:p>
        </w:tc>
      </w:tr>
      <w:tr>
        <w:trPr/>
        <w:tc>
          <w:tcPr>
            <w:tcW w:w="386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SCIA per insegna di esercizio</w:t>
            </w:r>
          </w:p>
        </w:tc>
        <w:tc>
          <w:tcPr>
            <w:tcW w:w="577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 xml:space="preserve">In caso di attività che preveda insegna esterna (dove è prevista la SCIA) </w:t>
            </w:r>
          </w:p>
        </w:tc>
      </w:tr>
      <w:tr>
        <w:trPr/>
        <w:tc>
          <w:tcPr>
            <w:tcW w:w="386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Comunicazione al Sindaco per industria insalubre</w:t>
            </w:r>
          </w:p>
        </w:tc>
        <w:tc>
          <w:tcPr>
            <w:tcW w:w="288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Nel caso di tintolavanderie che rientrino nella classificazione delle industrie insalubri prevista nel D.M. del 05/09/1994.</w:t>
            </w:r>
          </w:p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</w:r>
          </w:p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 xml:space="preserve">L’attività può essere avviata dopo 15 giorni 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Documento previsto solo per attività di tintolavanderia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638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3863"/>
        <w:gridCol w:w="2887"/>
        <w:gridCol w:w="2888"/>
      </w:tblGrid>
      <w:tr>
        <w:trPr/>
        <w:tc>
          <w:tcPr>
            <w:tcW w:w="96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Heading2"/>
              <w:keepNext w:val="true"/>
              <w:numPr>
                <w:ilvl w:val="0"/>
                <w:numId w:val="0"/>
              </w:numPr>
              <w:spacing w:before="57" w:after="57"/>
              <w:ind w:left="0" w:right="0" w:hanging="0"/>
              <w:jc w:val="center"/>
              <w:rPr>
                <w:rFonts w:ascii="Arial" w:hAnsi="Arial" w:eastAsia="Arial Unicode MS" w:cs="Tahoma"/>
                <w:i w:val="false"/>
                <w:i w:val="false"/>
                <w:iCs w:val="false"/>
                <w:color w:val="0000FF"/>
                <w:sz w:val="16"/>
                <w:szCs w:val="16"/>
              </w:rPr>
            </w:pPr>
            <w:r>
              <w:rPr>
                <w:rFonts w:eastAsia="Arial Unicode MS" w:cs="Tahoma"/>
                <w:i w:val="false"/>
                <w:iCs w:val="false"/>
                <w:color w:val="0000FF"/>
                <w:sz w:val="16"/>
                <w:szCs w:val="16"/>
              </w:rPr>
              <w:t>Autorizzazioni</w:t>
            </w:r>
          </w:p>
          <w:p>
            <w:pPr>
              <w:pStyle w:val="Heading2"/>
              <w:keepNext w:val="true"/>
              <w:numPr>
                <w:ilvl w:val="0"/>
                <w:numId w:val="0"/>
              </w:numPr>
              <w:spacing w:before="57" w:after="57"/>
              <w:ind w:left="0" w:right="0" w:hanging="0"/>
              <w:jc w:val="left"/>
              <w:rPr>
                <w:rFonts w:ascii="Arial" w:hAnsi="Arial" w:eastAsia="Arial Unicode MS" w:cs="Tahoma"/>
                <w:i w:val="false"/>
                <w:i w:val="false"/>
                <w:iCs w:val="false"/>
                <w:color w:val="0000FF"/>
                <w:sz w:val="16"/>
                <w:szCs w:val="16"/>
              </w:rPr>
            </w:pPr>
            <w:r>
              <w:rPr>
                <w:rFonts w:eastAsia="Arial Unicode MS" w:cs="Tahoma"/>
                <w:i w:val="false"/>
                <w:iCs w:val="false"/>
                <w:color w:val="0000FF"/>
                <w:sz w:val="16"/>
                <w:szCs w:val="16"/>
              </w:rPr>
              <w:t>Il/la sottoscritto/a è consapevole di non poter iniziare l’attività fino al rilascio dei relativi atti di assenso, che verrà comunicato dallo Sportello Unico.</w:t>
            </w:r>
          </w:p>
        </w:tc>
      </w:tr>
      <w:tr>
        <w:trPr/>
        <w:tc>
          <w:tcPr>
            <w:tcW w:w="3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Documentazione per richiesta di autorizzazione per insegna di esercizio</w:t>
            </w:r>
          </w:p>
        </w:tc>
        <w:tc>
          <w:tcPr>
            <w:tcW w:w="57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 caso di attività che preveda insegna esterna (dove è prevista la domanda di autorizzazione)</w:t>
            </w:r>
          </w:p>
        </w:tc>
      </w:tr>
      <w:tr>
        <w:trPr/>
        <w:tc>
          <w:tcPr>
            <w:tcW w:w="386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Documentazione per la richiesta dell’autorizzazione generale o AUA (nel caso di più autorizzazioni) alle emissioni in atmosfera</w:t>
            </w:r>
          </w:p>
        </w:tc>
        <w:tc>
          <w:tcPr>
            <w:tcW w:w="288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Nel caso di impianti a ciclo chiuso per la pulizia a secco di tessuti e di pellami, escluse le pellicce, e delle pulitintolavanderie a ciclo chiuso</w:t>
            </w:r>
          </w:p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</w:r>
          </w:p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i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i/>
                <w:iCs/>
                <w:sz w:val="12"/>
                <w:szCs w:val="12"/>
              </w:rPr>
              <w:t>Da applicarsi qualora le Regioni non abbiano adottato specifiche autorizzazioni generali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Documento previsto solo per attività di tintolavanderia</w:t>
            </w:r>
          </w:p>
        </w:tc>
      </w:tr>
      <w:tr>
        <w:trPr/>
        <w:tc>
          <w:tcPr>
            <w:tcW w:w="386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 xml:space="preserve">Documentazione per la richiesta di AUA per gli scarichi di acque reflue </w:t>
            </w:r>
          </w:p>
        </w:tc>
        <w:tc>
          <w:tcPr>
            <w:tcW w:w="577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Nel caso di impiego di lavatrici ad acqua analoghe a quelle di uso domestico e che effettivamente trattino oltre 100 kg di biancheria al giorno</w:t>
            </w:r>
          </w:p>
        </w:tc>
      </w:tr>
      <w:tr>
        <w:trPr/>
        <w:tc>
          <w:tcPr>
            <w:tcW w:w="386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Documentazione per la richiesta di autorizzazione in deroga</w:t>
            </w:r>
          </w:p>
        </w:tc>
        <w:tc>
          <w:tcPr>
            <w:tcW w:w="577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Nel caso di attività ubicata in locali sotterranei o semisotterranei che non dia luogo a emissioni di agenti nocivi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638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5375"/>
        <w:gridCol w:w="4263"/>
      </w:tblGrid>
      <w:tr>
        <w:trPr/>
        <w:tc>
          <w:tcPr>
            <w:tcW w:w="9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Heading2"/>
              <w:keepNext w:val="true"/>
              <w:numPr>
                <w:ilvl w:val="0"/>
                <w:numId w:val="0"/>
              </w:numPr>
              <w:spacing w:before="57" w:after="57"/>
              <w:ind w:left="0" w:right="0" w:hanging="0"/>
              <w:rPr>
                <w:rFonts w:ascii="Arial" w:hAnsi="Arial" w:eastAsia="Arial Unicode MS" w:cs="Tahoma"/>
                <w:i w:val="false"/>
                <w:i w:val="false"/>
                <w:iCs w:val="false"/>
                <w:color w:val="0000FF"/>
                <w:sz w:val="16"/>
                <w:szCs w:val="16"/>
              </w:rPr>
            </w:pPr>
            <w:r>
              <w:rPr>
                <w:rFonts w:eastAsia="Arial Unicode MS" w:cs="Tahoma"/>
                <w:i w:val="false"/>
                <w:iCs w:val="false"/>
                <w:color w:val="0000FF"/>
                <w:sz w:val="16"/>
                <w:szCs w:val="16"/>
              </w:rPr>
              <w:t>ALTRI ALLEGATI (attestazioni relative al versamento di oneri, diritti, etc. e dell’imposta di bollo)</w:t>
            </w:r>
          </w:p>
        </w:tc>
      </w:tr>
      <w:tr>
        <w:trPr/>
        <w:tc>
          <w:tcPr>
            <w:tcW w:w="537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Heading2"/>
              <w:keepNext w:val="true"/>
              <w:numPr>
                <w:ilvl w:val="0"/>
                <w:numId w:val="0"/>
              </w:numPr>
              <w:spacing w:before="57" w:after="57"/>
              <w:ind w:left="0" w:right="0" w:hanging="0"/>
              <w:jc w:val="center"/>
              <w:rPr>
                <w:rFonts w:ascii="Arial" w:hAnsi="Arial" w:eastAsia="Arial Unicode MS" w:cs="Tahoma"/>
                <w:b w:val="false"/>
                <w:b w:val="false"/>
                <w:bCs w:val="false"/>
                <w:i w:val="false"/>
                <w:i w:val="false"/>
                <w:iCs w:val="false"/>
                <w:color w:val="0000FF"/>
                <w:sz w:val="16"/>
                <w:szCs w:val="16"/>
              </w:rPr>
            </w:pPr>
            <w:r>
              <w:rPr>
                <w:rFonts w:eastAsia="Arial Unicode MS" w:cs="Tahoma"/>
                <w:b w:val="false"/>
                <w:bCs w:val="false"/>
                <w:i w:val="false"/>
                <w:iCs w:val="false"/>
                <w:color w:val="0000FF"/>
                <w:sz w:val="16"/>
                <w:szCs w:val="16"/>
              </w:rPr>
              <w:t>Denominazione</w:t>
            </w:r>
          </w:p>
        </w:tc>
        <w:tc>
          <w:tcPr>
            <w:tcW w:w="42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Heading2"/>
              <w:keepNext w:val="true"/>
              <w:numPr>
                <w:ilvl w:val="0"/>
                <w:numId w:val="0"/>
              </w:numPr>
              <w:spacing w:before="57" w:after="57"/>
              <w:ind w:left="0" w:right="0" w:hanging="0"/>
              <w:jc w:val="center"/>
              <w:rPr>
                <w:rFonts w:ascii="Arial" w:hAnsi="Arial" w:eastAsia="Arial Unicode MS" w:cs="Tahoma"/>
                <w:b w:val="false"/>
                <w:b w:val="false"/>
                <w:bCs w:val="false"/>
                <w:i w:val="false"/>
                <w:i w:val="false"/>
                <w:iCs w:val="false"/>
                <w:color w:val="0000FF"/>
                <w:sz w:val="16"/>
                <w:szCs w:val="16"/>
              </w:rPr>
            </w:pPr>
            <w:r>
              <w:rPr>
                <w:rFonts w:eastAsia="Arial Unicode MS" w:cs="Tahoma"/>
                <w:b w:val="false"/>
                <w:bCs w:val="false"/>
                <w:i w:val="false"/>
                <w:iCs w:val="false"/>
                <w:color w:val="0000FF"/>
                <w:sz w:val="16"/>
                <w:szCs w:val="16"/>
              </w:rPr>
              <w:t>Casi in cui è previsto il documento allegato</w:t>
            </w:r>
          </w:p>
        </w:tc>
      </w:tr>
      <w:tr>
        <w:trPr/>
        <w:tc>
          <w:tcPr>
            <w:tcW w:w="5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 xml:space="preserve">Attestazione del versamento di oneri, di diritti, ecc.(*) </w:t>
            </w:r>
          </w:p>
        </w:tc>
        <w:tc>
          <w:tcPr>
            <w:tcW w:w="4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Nella misura e con le modalità indicate sul sito dell’amministrazione</w:t>
            </w:r>
          </w:p>
        </w:tc>
      </w:tr>
      <w:tr>
        <w:trPr/>
        <w:tc>
          <w:tcPr>
            <w:tcW w:w="537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- Attestazione del versamento dell’imposta di bollo:</w:t>
            </w:r>
          </w:p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estremi del codice identificativo della marca da bollo, che deve essere annullata e conservata dall’interessato;</w:t>
            </w:r>
          </w:p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ovvero</w:t>
            </w:r>
          </w:p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- Assolvimento dell’imposta di bollo con le altre modalità previste, anche in modalità virtuale o tramite @bollo</w:t>
            </w:r>
          </w:p>
        </w:tc>
        <w:tc>
          <w:tcPr>
            <w:tcW w:w="42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Obbligatoria per la presentazione di una domanda contestuale alla SCIA (SCIA condizionata)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3"/>
      <w:footerReference w:type="default" r:id="rId4"/>
      <w:footnotePr>
        <w:numFmt w:val="decimal"/>
      </w:footnotePr>
      <w:type w:val="nextPage"/>
      <w:pgSz w:w="11906" w:h="16838"/>
      <w:pgMar w:left="1134" w:right="1134" w:header="737" w:top="1434" w:footer="737" w:bottom="120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auto"/>
    <w:pitch w:val="default"/>
  </w:font>
  <w:font w:name="Arial">
    <w:charset w:val="00"/>
    <w:family w:val="auto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fldChar w:fldCharType="begin"/>
    </w:r>
    <w:r>
      <w:instrText> PAGE </w:instrText>
    </w:r>
    <w:r>
      <w:fldChar w:fldCharType="separate"/>
    </w:r>
    <w:r>
      <w:t>4</w:t>
    </w:r>
    <w:r>
      <w:fldChar w:fldCharType="end"/>
    </w:r>
    <w:r>
      <w:rPr>
        <w:rFonts w:ascii="Arial" w:hAnsi="Arial"/>
        <w:sz w:val="16"/>
        <w:szCs w:val="16"/>
      </w:rPr>
      <w:t>/</w:t>
    </w:r>
    <w:r>
      <w:rPr>
        <w:rFonts w:ascii="Arial" w:hAnsi="Arial"/>
        <w:sz w:val="16"/>
        <w:szCs w:val="16"/>
      </w:rPr>
      <w:fldChar w:fldCharType="begin"/>
    </w:r>
    <w:r>
      <w:instrText> NUMPAGES </w:instrText>
    </w:r>
    <w:r>
      <w:fldChar w:fldCharType="separate"/>
    </w:r>
    <w:r>
      <w:t>4</w:t>
    </w:r>
    <w:r>
      <w:fldChar w:fldCharType="end"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"/>
        <w:rPr/>
      </w:pPr>
      <w:r>
        <w:rPr/>
        <w:footnoteRef/>
        <w:tab/>
        <w:t xml:space="preserve">L'attività di </w:t>
      </w:r>
      <w:r>
        <w:rPr>
          <w:rStyle w:val="StrongEmphasis"/>
        </w:rPr>
        <w:t xml:space="preserve">tintolavanderia </w:t>
      </w:r>
      <w:r>
        <w:rPr/>
        <w:t xml:space="preserve">comprende i trattamenti di lavanderia, di pulitura chimica a secco e a umido, di tintoria, di smacchiatura, di stireria, di follatura e affini, di indumenti, capi e accessori per l'abbigliamento, di capi in pelle e pelliccia, naturale e sintetica, di biancheria e tessuti per la casa, a uso industriale e commerciale, nonchè a uso sanitario, di tappeti, tappezzeria e rivestimenti per arredamento, nonchè di oggetti d'uso, articoli e prodotti tessili di ogni tipo di fibra </w:t>
      </w:r>
    </w:p>
  </w:footnote>
  <w:footnote w:id="3">
    <w:p>
      <w:pPr>
        <w:pStyle w:val="Footnote"/>
        <w:rPr/>
      </w:pPr>
      <w:r>
        <w:rPr/>
        <w:footnoteRef/>
        <w:tab/>
        <w:t xml:space="preserve">Le imprese di lavanderia dotate esclusivamente di lavatrici professionali ad acqua ed essiccatori destinati a essere utilizzati direttamente dalla clientela previo acquisto di appositi gettoni, denominate </w:t>
      </w:r>
      <w:r>
        <w:rPr>
          <w:b/>
          <w:bCs/>
        </w:rPr>
        <w:t>lavanderie self service</w:t>
      </w:r>
      <w:r>
        <w:rPr/>
        <w:t xml:space="preserve">, </w:t>
      </w:r>
      <w:r>
        <w:rPr>
          <w:rStyle w:val="StrongEmphasis"/>
        </w:rPr>
        <w:t>non necessitano della previa individuazione del responsabile tecnico</w:t>
      </w:r>
      <w:r>
        <w:rPr/>
        <w:t xml:space="preserve"> ai sensi dell’articolo </w:t>
      </w:r>
      <w:hyperlink r:id="rId1">
        <w:r>
          <w:rPr>
            <w:rStyle w:val="InternetLink"/>
          </w:rPr>
          <w:t xml:space="preserve">40 ter, commi 2 (imprese artigiane) e 7 (impresa non artigiana) </w:t>
        </w:r>
      </w:hyperlink>
      <w:r>
        <w:rPr/>
        <w:t>L.R. 12/2002</w:t>
      </w:r>
    </w:p>
  </w:footnote>
  <w:footnote w:id="4">
    <w:p>
      <w:pPr>
        <w:pStyle w:val="Footnote"/>
        <w:rPr/>
      </w:pPr>
      <w:r>
        <w:rPr>
          <w:rFonts w:ascii="Arial" w:hAnsi="Arial"/>
          <w:sz w:val="12"/>
          <w:szCs w:val="12"/>
        </w:rPr>
        <w:footnoteRef/>
        <w:tab/>
        <w:t xml:space="preserve">Le dichiarazioni sono rese ai sensi della  legge regionale </w:t>
      </w:r>
      <w:hyperlink r:id="rId2">
        <w:r>
          <w:rPr>
            <w:rStyle w:val="InternetLink"/>
            <w:rFonts w:ascii="Arial" w:hAnsi="Arial"/>
            <w:sz w:val="12"/>
            <w:szCs w:val="12"/>
          </w:rPr>
          <w:t xml:space="preserve">14 febbraio 2014, n. 1 </w:t>
        </w:r>
      </w:hyperlink>
      <w:r>
        <w:rPr>
          <w:rFonts w:ascii="Arial" w:hAnsi="Arial"/>
          <w:sz w:val="12"/>
          <w:szCs w:val="12"/>
        </w:rPr>
        <w:t>(disposizioni per la prevenzione, il trattamento e il contrasto della dipendenza da gioco d'azzardo, nonché delle problematiche e patologie correlate) e della Legge regionale</w:t>
      </w:r>
      <w:r>
        <w:rPr>
          <w:rFonts w:cs="Arial" w:ascii="Arial" w:hAnsi="Arial"/>
          <w:b w:val="false"/>
          <w:bCs w:val="false"/>
          <w:i w:val="false"/>
          <w:iCs w:val="false"/>
          <w:sz w:val="12"/>
          <w:szCs w:val="12"/>
        </w:rPr>
        <w:t xml:space="preserve"> </w:t>
      </w:r>
      <w:hyperlink r:id="rId3">
        <w:r>
          <w:rPr>
            <w:rStyle w:val="InternetLink"/>
            <w:rFonts w:cs="Arial" w:ascii="Arial" w:hAnsi="Arial"/>
            <w:b w:val="false"/>
            <w:bCs w:val="false"/>
            <w:i w:val="false"/>
            <w:iCs w:val="false"/>
            <w:sz w:val="12"/>
            <w:szCs w:val="12"/>
          </w:rPr>
          <w:t>17 luglio 2017, n. 26</w:t>
        </w:r>
      </w:hyperlink>
      <w:r>
        <w:rPr>
          <w:rFonts w:cs="Arial" w:ascii="Arial" w:hAnsi="Arial"/>
          <w:b w:val="false"/>
          <w:bCs w:val="false"/>
          <w:i w:val="false"/>
          <w:iCs w:val="false"/>
          <w:sz w:val="12"/>
          <w:szCs w:val="12"/>
        </w:rPr>
        <w:t xml:space="preserve"> Modifiche alla legge regionale 14 febbraio 2014, n. 1</w:t>
      </w:r>
    </w:p>
  </w:footnote>
  <w:footnote w:id="5">
    <w:p>
      <w:pPr>
        <w:pStyle w:val="Footnote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  <w:footnoteRef/>
        <w:tab/>
        <w:t>11. Il divieto di cui al comma 1 non si applica qualora l'insediamento dell'attività qualificata come luogo sensibile ai sensi della presente legge sia successivo alla installazione degli apparecchi per il gioco lecito o all'insediamento dell'attività di raccolta di scommesse</w:t>
      </w:r>
    </w:p>
  </w:footnote>
  <w:footnote w:id="6">
    <w:p>
      <w:pPr>
        <w:pStyle w:val="Footnote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  <w:footnoteRef/>
        <w:tab/>
        <w:t>"</w:t>
      </w:r>
      <w:r>
        <w:rPr>
          <w:rFonts w:ascii="Arial" w:hAnsi="Arial"/>
          <w:b/>
          <w:bCs/>
          <w:sz w:val="12"/>
          <w:szCs w:val="12"/>
        </w:rPr>
        <w:t>vetustà dell'apparecchio per il gioco lecito</w:t>
      </w:r>
      <w:r>
        <w:rPr>
          <w:rFonts w:ascii="Arial" w:hAnsi="Arial"/>
          <w:sz w:val="12"/>
          <w:szCs w:val="12"/>
        </w:rPr>
        <w:t>": la sopravvenuta inadeguatezza tecnica dell'apparecchio per il gioco lecito rispetto a requisiti previsti dalla normativa vigente</w:t>
      </w:r>
    </w:p>
  </w:footnote>
  <w:footnote w:id="7">
    <w:p>
      <w:pPr>
        <w:pStyle w:val="Footnote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  <w:footnoteRef/>
        <w:tab/>
        <w:t>"</w:t>
      </w:r>
      <w:r>
        <w:rPr>
          <w:rFonts w:ascii="Arial" w:hAnsi="Arial"/>
          <w:b/>
          <w:bCs/>
          <w:sz w:val="12"/>
          <w:szCs w:val="12"/>
        </w:rPr>
        <w:t>guasto dell'apparecchio per il gioco lecito</w:t>
      </w:r>
      <w:r>
        <w:rPr>
          <w:rFonts w:ascii="Arial" w:hAnsi="Arial"/>
          <w:sz w:val="12"/>
          <w:szCs w:val="12"/>
        </w:rPr>
        <w:t>": il malfunzionamento irreparabile dell'apparecchio per il gioco lecito che lo rende inservibile al suo scopo</w:t>
      </w:r>
    </w:p>
  </w:footnote>
  <w:footnote w:id="8">
    <w:p>
      <w:pPr>
        <w:pStyle w:val="Footnote"/>
        <w:rPr/>
      </w:pPr>
      <w:r>
        <w:rPr/>
        <w:footnoteRef/>
        <w:tab/>
        <w:t xml:space="preserve">Nei casi di cui al comma 4 (cioè sostituzione per vetustà o guasto), la comunicazione </w:t>
      </w:r>
      <w:r>
        <w:rPr>
          <w:b/>
          <w:bCs/>
        </w:rPr>
        <w:t>specifica le cause che rendono necessaria la sostituzione degli apparecchi</w:t>
      </w:r>
      <w:r>
        <w:rPr/>
        <w:t xml:space="preserve">. 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rFonts w:ascii="Arial" w:hAnsi="Arial"/>
        <w:b/>
        <w:b/>
        <w:bCs/>
        <w:color w:val="999999"/>
        <w:sz w:val="18"/>
        <w:szCs w:val="18"/>
      </w:rPr>
    </w:pPr>
    <w:r>
      <w:rPr>
        <w:rFonts w:cs="Arial" w:ascii="Arial" w:hAnsi="Arial"/>
        <w:b/>
        <w:bCs/>
        <w:i w:val="false"/>
        <w:color w:val="999999"/>
        <w:sz w:val="18"/>
        <w:szCs w:val="18"/>
      </w:rPr>
      <w:t xml:space="preserve">B19 - </w:t>
    </w:r>
    <w:r>
      <w:rPr>
        <w:rFonts w:cs="Arial" w:ascii="Arial" w:hAnsi="Arial"/>
        <w:b/>
        <w:bCs/>
        <w:color w:val="999999"/>
        <w:sz w:val="18"/>
        <w:szCs w:val="18"/>
      </w:rPr>
      <w:t>Tintolavanderia</w:t>
    </w:r>
  </w:p>
  <w:p>
    <w:pPr>
      <w:pStyle w:val="Normal"/>
      <w:spacing w:before="0" w:after="0"/>
      <w:rPr>
        <w:rFonts w:ascii="Arial" w:hAnsi="Arial"/>
        <w:b/>
        <w:b/>
        <w:bCs/>
        <w:color w:val="999999"/>
        <w:sz w:val="18"/>
        <w:szCs w:val="18"/>
      </w:rPr>
    </w:pPr>
    <w:r>
      <w:rPr>
        <w:rFonts w:ascii="Arial" w:hAnsi="Arial"/>
        <w:b/>
        <w:bCs/>
        <w:color w:val="999999"/>
        <w:sz w:val="18"/>
        <w:szCs w:val="18"/>
      </w:rPr>
      <w:t>Data ultima versione del modello: 30/09/2017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pStyle w:val="Heading7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pStyle w:val="Heading8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pStyle w:val="Heading9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efaultTabStop w:val="709"/>
  <w:footnotePr>
    <w:numFmt w:val="decimal"/>
    <w:footnote w:id="0"/>
    <w:footnote w:id="1"/>
  </w:footnotePr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sz w:val="24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SimSun" w:cs="Mangal"/>
      <w:color w:val="auto"/>
      <w:sz w:val="24"/>
      <w:szCs w:val="24"/>
      <w:lang w:val="it-IT" w:eastAsia="zh-CN" w:bidi="hi-IN"/>
    </w:rPr>
  </w:style>
  <w:style w:type="paragraph" w:styleId="Heading1">
    <w:name w:val="Heading 1"/>
    <w:basedOn w:val="Heading"/>
    <w:next w:val="TextBody"/>
    <w:qFormat/>
    <w:pPr>
      <w:numPr>
        <w:ilvl w:val="0"/>
        <w:numId w:val="1"/>
      </w:numPr>
      <w:outlineLvl w:val="0"/>
    </w:pPr>
    <w:rPr>
      <w:b/>
      <w:bCs/>
      <w:color w:val="FF3333"/>
      <w:sz w:val="32"/>
      <w:szCs w:val="32"/>
    </w:rPr>
  </w:style>
  <w:style w:type="paragraph" w:styleId="Heading2">
    <w:name w:val="Heading 2"/>
    <w:basedOn w:val="Heading"/>
    <w:next w:val="TextBody"/>
    <w:qFormat/>
    <w:pPr>
      <w:numPr>
        <w:ilvl w:val="1"/>
        <w:numId w:val="1"/>
      </w:numPr>
      <w:outlineLvl w:val="1"/>
    </w:pPr>
    <w:rPr>
      <w:b/>
      <w:bCs/>
      <w:i/>
      <w:iCs/>
      <w:sz w:val="22"/>
      <w:szCs w:val="28"/>
    </w:rPr>
  </w:style>
  <w:style w:type="paragraph" w:styleId="Heading3">
    <w:name w:val="Heading 3"/>
    <w:basedOn w:val="Heading"/>
    <w:next w:val="TextBody"/>
    <w:qFormat/>
    <w:pPr>
      <w:numPr>
        <w:ilvl w:val="2"/>
        <w:numId w:val="1"/>
      </w:numPr>
      <w:spacing w:before="0" w:after="0"/>
      <w:ind w:left="0" w:right="0" w:hanging="0"/>
      <w:textAlignment w:val="center"/>
      <w:outlineLvl w:val="2"/>
    </w:pPr>
    <w:rPr>
      <w:b w:val="false"/>
      <w:bCs/>
      <w:sz w:val="18"/>
      <w:szCs w:val="28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tabs>
        <w:tab w:val="left" w:pos="1980" w:leader="none"/>
      </w:tabs>
      <w:spacing w:before="0" w:after="0"/>
      <w:ind w:left="0" w:right="0" w:hanging="0"/>
      <w:jc w:val="center"/>
      <w:outlineLvl w:val="6"/>
    </w:pPr>
    <w:rPr>
      <w:i/>
      <w:iCs/>
      <w:sz w:val="20"/>
    </w:rPr>
  </w:style>
  <w:style w:type="paragraph" w:styleId="Heading8">
    <w:name w:val="Heading 8"/>
    <w:basedOn w:val="Heading"/>
    <w:next w:val="TextBody"/>
    <w:qFormat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paragraph" w:styleId="Heading9">
    <w:name w:val="Heading 9"/>
    <w:basedOn w:val="Heading"/>
    <w:next w:val="TextBody"/>
    <w:qFormat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styleId="NumberingSymbols">
    <w:name w:val="Numbering Symbols"/>
    <w:qFormat/>
    <w:rPr/>
  </w:style>
  <w:style w:type="character" w:styleId="WW8Num3z0">
    <w:name w:val="WW8Num3z0"/>
    <w:qFormat/>
    <w:rPr>
      <w:rFonts w:ascii="Symbol" w:hAnsi="Symbol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FootnoteCharacters">
    <w:name w:val="Footnote Characters"/>
    <w:qFormat/>
    <w:rPr/>
  </w:style>
  <w:style w:type="character" w:styleId="FootnoteAnchor">
    <w:name w:val="Footnote Anchor"/>
    <w:rPr>
      <w:vertAlign w:val="superscript"/>
    </w:rPr>
  </w:style>
  <w:style w:type="character" w:styleId="StrongEmphasis">
    <w:name w:val="Strong Emphasis"/>
    <w:qFormat/>
    <w:rPr>
      <w:b/>
      <w:bCs/>
    </w:rPr>
  </w:style>
  <w:style w:type="character" w:styleId="EndnoteAnchor">
    <w:name w:val="Endnote Anchor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Tahoma"/>
    </w:rPr>
  </w:style>
  <w:style w:type="paragraph" w:styleId="TableContents">
    <w:name w:val="Table Contents"/>
    <w:basedOn w:val="Normal"/>
    <w:qFormat/>
    <w:pPr>
      <w:suppressLineNumbers/>
    </w:pPr>
    <w:rPr>
      <w:rFonts w:ascii="Arial" w:hAnsi="Arial"/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ing10">
    <w:name w:val="Heading 10"/>
    <w:basedOn w:val="Heading"/>
    <w:next w:val="TextBody"/>
    <w:qFormat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paragraph" w:styleId="Footer">
    <w:name w:val="Foot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Footnote">
    <w:name w:val="Footnote Text"/>
    <w:basedOn w:val="Normal"/>
    <w:pPr>
      <w:suppressLineNumbers/>
      <w:ind w:left="283" w:right="0" w:hanging="283"/>
    </w:pPr>
    <w:rPr>
      <w:rFonts w:ascii="Arial" w:hAnsi="Arial"/>
      <w:sz w:val="12"/>
      <w:szCs w:val="20"/>
    </w:rPr>
  </w:style>
  <w:style w:type="paragraph" w:styleId="Header">
    <w:name w:val="Head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numbering" w:styleId="Numbering1">
    <w:name w:val="Numbering 1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lexview-int.regione.fvg.it/fontinormative/xml/xmlLex.aspx?anno=2002&amp;legge=12&amp;ID=art24&amp;lista=0&amp;fx=lex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notes.xml.rels><?xml version="1.0" encoding="UTF-8"?>
<Relationships xmlns="http://schemas.openxmlformats.org/package/2006/relationships"><Relationship Id="rId1" Type="http://schemas.openxmlformats.org/officeDocument/2006/relationships/hyperlink" Target="http://lexview-int.regione.fvg.it/fontinormative/xml/xmlLex.aspx?anno=2002&amp;legge=12&amp;lista=0&amp;fx=lex" TargetMode="External"/><Relationship Id="rId2" Type="http://schemas.openxmlformats.org/officeDocument/2006/relationships/hyperlink" Target="http://lexview-int.regione.fvg.it/fontinormative/xml/xmlLex.aspx?anno=2014&amp;legge=1&amp;lista=0&amp;fx=lex" TargetMode="External"/><Relationship Id="rId3" Type="http://schemas.openxmlformats.org/officeDocument/2006/relationships/hyperlink" Target="http://lexview-int.regione.fvg.it/FontiNormative/xml/xmlLex.aspx?anno=2017&amp;legge=26&amp;ID=art7&amp;lista=0&amp;fx=lex" TargetMode=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2239</TotalTime>
  <Application>LibreOffice/5.3.6.1$Linux_X86_64 LibreOffice_project/30$Build-1</Application>
  <Pages>4</Pages>
  <Words>1933</Words>
  <CharactersWithSpaces>13160</CharactersWithSpaces>
  <Paragraphs>139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2012-11-28T09:45:51Z</dcterms:created>
  <dc:creator>Livio Metton</dc:creator>
  <dc:description>Versione 1.0</dc:description>
  <dc:language>en-US</dc:language>
  <cp:lastModifiedBy>Giovanna, Paola Carano</cp:lastModifiedBy>
  <cp:lastPrinted>2017-09-21T17:21:43Z</cp:lastPrinted>
  <dcterms:modified xsi:type="dcterms:W3CDTF">2018-03-23T08:06:44Z</dcterms:modified>
  <cp:revision>327</cp:revision>
  <dc:subject/>
  <dc:title/>
</cp:coreProperties>
</file>